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8F820">
      <w:pPr>
        <w:pStyle w:val="12"/>
        <w:ind w:firstLine="480"/>
        <w:rPr>
          <w:rFonts w:hint="eastAsia" w:ascii="黑体" w:hAnsi="黑体" w:eastAsia="黑体" w:cs="黑体"/>
          <w:lang w:val="en-US"/>
        </w:rPr>
      </w:pPr>
      <w:bookmarkStart w:id="28" w:name="_GoBack"/>
      <w:bookmarkEnd w:id="28"/>
      <w:r>
        <w:rPr>
          <w:rFonts w:hint="eastAsia" w:ascii="黑体" w:hAnsi="黑体" w:eastAsia="黑体" w:cs="黑体"/>
        </w:rPr>
        <mc:AlternateContent>
          <mc:Choice Requires="wps">
            <w:drawing>
              <wp:anchor distT="0" distB="0" distL="114300" distR="114300" simplePos="0" relativeHeight="251663360" behindDoc="0" locked="1" layoutInCell="1" allowOverlap="1">
                <wp:simplePos x="0" y="0"/>
                <wp:positionH relativeFrom="margin">
                  <wp:posOffset>-242570</wp:posOffset>
                </wp:positionH>
                <wp:positionV relativeFrom="margin">
                  <wp:posOffset>-554355</wp:posOffset>
                </wp:positionV>
                <wp:extent cx="2540000" cy="657860"/>
                <wp:effectExtent l="0" t="0" r="12700" b="8890"/>
                <wp:wrapNone/>
                <wp:docPr id="10"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126A8D90">
                            <w:pPr>
                              <w:pStyle w:val="33"/>
                              <w:adjustRightInd w:val="0"/>
                              <w:snapToGrid w:val="0"/>
                              <w:rPr>
                                <w:rFonts w:hint="eastAsia"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CC5952C">
                            <w:pPr>
                              <w:pStyle w:val="33"/>
                              <w:adjustRightInd w:val="0"/>
                              <w:snapToGrid w:val="0"/>
                              <w:rPr>
                                <w:rFonts w:hint="eastAsia" w:ascii="黑体" w:hAnsi="黑体" w:eastAsia="黑体" w:cs="黑体"/>
                                <w:sz w:val="21"/>
                                <w:szCs w:val="21"/>
                              </w:rPr>
                            </w:pPr>
                            <w:r>
                              <w:rPr>
                                <w:rFonts w:hint="eastAsia" w:ascii="黑体" w:hAnsi="黑体" w:eastAsia="黑体" w:cs="黑体"/>
                                <w:sz w:val="21"/>
                                <w:szCs w:val="21"/>
                              </w:rPr>
                              <w:t>CCS Y42</w:t>
                            </w:r>
                          </w:p>
                          <w:p w14:paraId="62F873E0"/>
                        </w:txbxContent>
                      </wps:txbx>
                      <wps:bodyPr wrap="square" lIns="0" tIns="0" rIns="0" bIns="0" upright="1"/>
                    </wps:wsp>
                  </a:graphicData>
                </a:graphic>
              </wp:anchor>
            </w:drawing>
          </mc:Choice>
          <mc:Fallback>
            <w:pict>
              <v:shape id="fmFrame1" o:spid="_x0000_s1026" o:spt="202" type="#_x0000_t202" style="position:absolute;left:0pt;margin-left:-19.1pt;margin-top:-43.65pt;height:51.8pt;width:200pt;mso-position-horizontal-relative:margin;mso-position-vertical-relative:margin;z-index:251663360;mso-width-relative:page;mso-height-relative:page;" fillcolor="#FFFFFF" filled="t" stroked="f" coordsize="21600,21600" o:gfxdata="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Eqn0zZAAAACgEAAA8AAAAAAAAAAQAgAAAAIgAAAGRycy9k&#10;b3ducmV2LnhtbFBLAQIUABQAAAAIAIdO4kCQCw5gyAEAAKcDAAAOAAAAAAAAAAEAIAAAACgBAABk&#10;cnMvZTJvRG9jLnhtbFBLBQYAAAAABgAGAFkBAABiBQAAAAA=&#10;">
                <v:fill on="t" focussize="0,0"/>
                <v:stroke on="f"/>
                <v:imagedata o:title=""/>
                <o:lock v:ext="edit" aspectratio="f"/>
                <v:textbox inset="0mm,0mm,0mm,0mm">
                  <w:txbxContent>
                    <w:p w14:paraId="126A8D90">
                      <w:pPr>
                        <w:pStyle w:val="33"/>
                        <w:adjustRightInd w:val="0"/>
                        <w:snapToGrid w:val="0"/>
                        <w:rPr>
                          <w:rFonts w:hint="eastAsia"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CC5952C">
                      <w:pPr>
                        <w:pStyle w:val="33"/>
                        <w:adjustRightInd w:val="0"/>
                        <w:snapToGrid w:val="0"/>
                        <w:rPr>
                          <w:rFonts w:hint="eastAsia" w:ascii="黑体" w:hAnsi="黑体" w:eastAsia="黑体" w:cs="黑体"/>
                          <w:sz w:val="21"/>
                          <w:szCs w:val="21"/>
                        </w:rPr>
                      </w:pPr>
                      <w:r>
                        <w:rPr>
                          <w:rFonts w:hint="eastAsia" w:ascii="黑体" w:hAnsi="黑体" w:eastAsia="黑体" w:cs="黑体"/>
                          <w:sz w:val="21"/>
                          <w:szCs w:val="21"/>
                        </w:rPr>
                        <w:t>CCS Y42</w:t>
                      </w:r>
                    </w:p>
                    <w:p w14:paraId="62F873E0"/>
                  </w:txbxContent>
                </v:textbox>
                <w10:anchorlock/>
              </v:shape>
            </w:pict>
          </mc:Fallback>
        </mc:AlternateContent>
      </w:r>
    </w:p>
    <w:p w14:paraId="61838D35">
      <w:pPr>
        <w:jc w:val="center"/>
        <w:rPr>
          <w:rFonts w:hint="eastAsia" w:ascii="黑体" w:hAnsi="黑体" w:eastAsia="黑体" w:cs="黑体"/>
          <w:b/>
          <w:sz w:val="52"/>
        </w:rPr>
      </w:pPr>
      <w:r>
        <w:rPr>
          <w:rFonts w:hint="eastAsia" w:ascii="黑体" w:hAnsi="黑体" w:eastAsia="黑体" w:cs="黑体"/>
        </w:rPr>
        <mc:AlternateContent>
          <mc:Choice Requires="wps">
            <w:drawing>
              <wp:anchor distT="0" distB="0" distL="114300" distR="114300" simplePos="0" relativeHeight="251665408" behindDoc="0" locked="1" layoutInCell="0" allowOverlap="1">
                <wp:simplePos x="0" y="0"/>
                <wp:positionH relativeFrom="margin">
                  <wp:posOffset>-143510</wp:posOffset>
                </wp:positionH>
                <wp:positionV relativeFrom="margin">
                  <wp:posOffset>791210</wp:posOffset>
                </wp:positionV>
                <wp:extent cx="5802630" cy="577850"/>
                <wp:effectExtent l="0" t="0" r="7620" b="12700"/>
                <wp:wrapNone/>
                <wp:docPr id="2" name="fmFrame3"/>
                <wp:cNvGraphicFramePr/>
                <a:graphic xmlns:a="http://schemas.openxmlformats.org/drawingml/2006/main">
                  <a:graphicData uri="http://schemas.microsoft.com/office/word/2010/wordprocessingShape">
                    <wps:wsp>
                      <wps:cNvSpPr txBox="1"/>
                      <wps:spPr>
                        <a:xfrm>
                          <a:off x="0" y="0"/>
                          <a:ext cx="5802630" cy="577850"/>
                        </a:xfrm>
                        <a:prstGeom prst="rect">
                          <a:avLst/>
                        </a:prstGeom>
                        <a:solidFill>
                          <a:srgbClr val="FFFFFF"/>
                        </a:solidFill>
                        <a:ln>
                          <a:noFill/>
                        </a:ln>
                      </wps:spPr>
                      <wps:txbx>
                        <w:txbxContent>
                          <w:p w14:paraId="5239C6B2">
                            <w:pPr>
                              <w:pStyle w:val="34"/>
                              <w:rPr>
                                <w:rFonts w:hint="eastAsia" w:ascii="黑体" w:hAnsi="黑体" w:eastAsia="黑体" w:cs="黑体"/>
                              </w:rPr>
                            </w:pPr>
                            <w:r>
                              <w:rPr>
                                <w:rFonts w:hint="eastAsia" w:ascii="黑体" w:hAnsi="黑体" w:eastAsia="黑体" w:cs="黑体"/>
                              </w:rPr>
                              <w:t>T/CAFFCI  XXXX—202X</w:t>
                            </w:r>
                          </w:p>
                          <w:p w14:paraId="0D888DFB">
                            <w:pPr>
                              <w:pStyle w:val="34"/>
                              <w:rPr>
                                <w:rFonts w:ascii="黑体" w:eastAsia="黑体"/>
                                <w:b/>
                              </w:rPr>
                            </w:pPr>
                          </w:p>
                        </w:txbxContent>
                      </wps:txbx>
                      <wps:bodyPr wrap="square" lIns="0" tIns="0" rIns="0" bIns="0" upright="1"/>
                    </wps:wsp>
                  </a:graphicData>
                </a:graphic>
              </wp:anchor>
            </w:drawing>
          </mc:Choice>
          <mc:Fallback>
            <w:pict>
              <v:shape id="fmFrame3" o:spid="_x0000_s1026" o:spt="202" type="#_x0000_t202" style="position:absolute;left:0pt;margin-left:-11.3pt;margin-top:62.3pt;height:45.5pt;width:456.9pt;mso-position-horizontal-relative:margin;mso-position-vertical-relative:margin;z-index:251665408;mso-width-relative:page;mso-height-relative:page;" fillcolor="#FFFFFF" filled="t" stroked="f" coordsize="21600,21600" o:allowincell="f" o:gfxdata="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S/tk9kAAAALAQAADwAAAAAAAAABACAAAAAiAAAAZHJz&#10;L2Rvd25yZXYueG1sUEsBAhQAFAAAAAgAh07iQHWC4RPKAQAApgMAAA4AAAAAAAAAAQAgAAAAKAEA&#10;AGRycy9lMm9Eb2MueG1sUEsFBgAAAAAGAAYAWQEAAGQFAAAAAA==&#10;">
                <v:fill on="t" focussize="0,0"/>
                <v:stroke on="f"/>
                <v:imagedata o:title=""/>
                <o:lock v:ext="edit" aspectratio="f"/>
                <v:textbox inset="0mm,0mm,0mm,0mm">
                  <w:txbxContent>
                    <w:p w14:paraId="5239C6B2">
                      <w:pPr>
                        <w:pStyle w:val="34"/>
                        <w:rPr>
                          <w:rFonts w:hint="eastAsia" w:ascii="黑体" w:hAnsi="黑体" w:eastAsia="黑体" w:cs="黑体"/>
                        </w:rPr>
                      </w:pPr>
                      <w:r>
                        <w:rPr>
                          <w:rFonts w:hint="eastAsia" w:ascii="黑体" w:hAnsi="黑体" w:eastAsia="黑体" w:cs="黑体"/>
                        </w:rPr>
                        <w:t>T/CAFFCI  XXXX—202X</w:t>
                      </w:r>
                    </w:p>
                    <w:p w14:paraId="0D888DFB">
                      <w:pPr>
                        <w:pStyle w:val="34"/>
                        <w:rPr>
                          <w:rFonts w:ascii="黑体" w:eastAsia="黑体"/>
                          <w:b/>
                        </w:rPr>
                      </w:pPr>
                    </w:p>
                  </w:txbxContent>
                </v:textbox>
                <w10:anchorlock/>
              </v:shape>
            </w:pict>
          </mc:Fallback>
        </mc:AlternateContent>
      </w:r>
      <w:r>
        <w:rPr>
          <w:rFonts w:hint="eastAsia" w:ascii="黑体" w:hAnsi="黑体" w:eastAsia="黑体" w:cs="黑体"/>
        </w:rPr>
        <mc:AlternateContent>
          <mc:Choice Requires="wps">
            <w:drawing>
              <wp:anchor distT="0" distB="0" distL="114300" distR="114300" simplePos="0" relativeHeight="251664384" behindDoc="0" locked="1" layoutInCell="1" allowOverlap="1">
                <wp:simplePos x="0" y="0"/>
                <wp:positionH relativeFrom="margin">
                  <wp:posOffset>-27305</wp:posOffset>
                </wp:positionH>
                <wp:positionV relativeFrom="margin">
                  <wp:posOffset>456565</wp:posOffset>
                </wp:positionV>
                <wp:extent cx="5569585" cy="772160"/>
                <wp:effectExtent l="0" t="0" r="12065" b="8890"/>
                <wp:wrapNone/>
                <wp:docPr id="1" name="fmFrame2"/>
                <wp:cNvGraphicFramePr/>
                <a:graphic xmlns:a="http://schemas.openxmlformats.org/drawingml/2006/main">
                  <a:graphicData uri="http://schemas.microsoft.com/office/word/2010/wordprocessingShape">
                    <wps:wsp>
                      <wps:cNvSpPr txBox="1"/>
                      <wps:spPr>
                        <a:xfrm>
                          <a:off x="0" y="0"/>
                          <a:ext cx="5569585" cy="772160"/>
                        </a:xfrm>
                        <a:prstGeom prst="rect">
                          <a:avLst/>
                        </a:prstGeom>
                        <a:solidFill>
                          <a:srgbClr val="FFFFFF"/>
                        </a:solidFill>
                        <a:ln>
                          <a:noFill/>
                        </a:ln>
                      </wps:spPr>
                      <wps:txbx>
                        <w:txbxContent>
                          <w:p w14:paraId="1ABEE5FD">
                            <w:pPr>
                              <w:pStyle w:val="35"/>
                              <w:spacing w:line="240" w:lineRule="auto"/>
                              <w:rPr>
                                <w:rFonts w:hint="eastAsia" w:hAnsi="黑体" w:cs="黑体"/>
                                <w:bCs/>
                                <w:szCs w:val="52"/>
                              </w:rPr>
                            </w:pPr>
                            <w:r>
                              <w:rPr>
                                <w:rFonts w:hint="eastAsia" w:hAnsi="黑体" w:cs="黑体"/>
                                <w:bCs/>
                                <w:szCs w:val="52"/>
                              </w:rPr>
                              <w:t>团体标准</w:t>
                            </w:r>
                          </w:p>
                        </w:txbxContent>
                      </wps:txbx>
                      <wps:bodyPr wrap="square" lIns="0" tIns="0" rIns="0" bIns="0" upright="1"/>
                    </wps:wsp>
                  </a:graphicData>
                </a:graphic>
              </wp:anchor>
            </w:drawing>
          </mc:Choice>
          <mc:Fallback>
            <w:pict>
              <v:shape id="fmFrame2" o:spid="_x0000_s1026" o:spt="202" type="#_x0000_t202" style="position:absolute;left:0pt;margin-left:-2.15pt;margin-top:35.95pt;height:60.8pt;width:438.55pt;mso-position-horizontal-relative:margin;mso-position-vertical-relative:margin;z-index:251664384;mso-width-relative:page;mso-height-relative:page;" fillcolor="#FFFFFF" filled="t" stroked="f" coordsize="21600,21600" o:gfxdata="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pIqWNkAAAAJAQAADwAAAAAAAAABACAAAAAiAAAAZHJz&#10;L2Rvd25yZXYueG1sUEsBAhQAFAAAAAgAh07iQK0i8mHKAQAApgMAAA4AAAAAAAAAAQAgAAAAKAEA&#10;AGRycy9lMm9Eb2MueG1sUEsFBgAAAAAGAAYAWQEAAGQFAAAAAA==&#10;">
                <v:fill on="t" focussize="0,0"/>
                <v:stroke on="f"/>
                <v:imagedata o:title=""/>
                <o:lock v:ext="edit" aspectratio="f"/>
                <v:textbox inset="0mm,0mm,0mm,0mm">
                  <w:txbxContent>
                    <w:p w14:paraId="1ABEE5FD">
                      <w:pPr>
                        <w:pStyle w:val="35"/>
                        <w:spacing w:line="240" w:lineRule="auto"/>
                        <w:rPr>
                          <w:rFonts w:hint="eastAsia" w:hAnsi="黑体" w:cs="黑体"/>
                          <w:bCs/>
                          <w:szCs w:val="52"/>
                        </w:rPr>
                      </w:pPr>
                      <w:r>
                        <w:rPr>
                          <w:rFonts w:hint="eastAsia" w:hAnsi="黑体" w:cs="黑体"/>
                          <w:bCs/>
                          <w:szCs w:val="52"/>
                        </w:rPr>
                        <w:t>团体标准</w:t>
                      </w:r>
                    </w:p>
                  </w:txbxContent>
                </v:textbox>
                <w10:anchorlock/>
              </v:shape>
            </w:pict>
          </mc:Fallback>
        </mc:AlternateContent>
      </w:r>
    </w:p>
    <w:p w14:paraId="0ECD2332">
      <w:pPr>
        <w:jc w:val="center"/>
        <w:rPr>
          <w:rFonts w:hint="eastAsia" w:ascii="黑体" w:hAnsi="黑体" w:eastAsia="黑体" w:cs="黑体"/>
          <w:b/>
          <w:sz w:val="52"/>
        </w:rPr>
      </w:pPr>
    </w:p>
    <w:p w14:paraId="6ECBDFB9">
      <w:pPr>
        <w:jc w:val="center"/>
        <w:rPr>
          <w:rFonts w:hint="eastAsia" w:ascii="黑体" w:hAnsi="黑体" w:eastAsia="黑体" w:cs="黑体"/>
          <w:b/>
          <w:sz w:val="52"/>
        </w:rPr>
      </w:pPr>
      <w:r>
        <w:rPr>
          <w:rFonts w:hint="eastAsia" w:ascii="黑体" w:hAnsi="黑体" w:eastAsia="黑体" w:cs="黑体"/>
          <w:sz w:val="28"/>
        </w:rPr>
        <mc:AlternateContent>
          <mc:Choice Requires="wps">
            <w:drawing>
              <wp:anchor distT="0" distB="0" distL="114300" distR="114300" simplePos="0" relativeHeight="251666432" behindDoc="0" locked="0" layoutInCell="1" allowOverlap="1">
                <wp:simplePos x="0" y="0"/>
                <wp:positionH relativeFrom="column">
                  <wp:posOffset>-251460</wp:posOffset>
                </wp:positionH>
                <wp:positionV relativeFrom="paragraph">
                  <wp:posOffset>328930</wp:posOffset>
                </wp:positionV>
                <wp:extent cx="6120130" cy="0"/>
                <wp:effectExtent l="0" t="4445" r="0" b="5080"/>
                <wp:wrapNone/>
                <wp:docPr id="11"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o:spt="20" style="position:absolute;left:0pt;margin-left:-19.8pt;margin-top:25.9pt;height:0pt;width:481.9pt;z-index:251666432;mso-width-relative:page;mso-height-relative:page;" filled="f" stroked="t" coordsize="21600,21600" o:gfxdata="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eGTZzXAAAACQEAAA8AAAAAAAAAAQAgAAAAIgAAAGRycy9kb3ducmV2LnhtbFBLAQIUABQA&#10;AAAIAIdO4kDavg8z8QEAAOcDAAAOAAAAAAAAAAEAIAAAACYBAABkcnMvZTJvRG9jLnhtbFBLBQYA&#10;AAAABgAGAFkBAACJBQAAAAA=&#10;">
                <v:fill on="f" focussize="0,0"/>
                <v:stroke color="#000000" joinstyle="round"/>
                <v:imagedata o:title=""/>
                <o:lock v:ext="edit" aspectratio="f"/>
              </v:line>
            </w:pict>
          </mc:Fallback>
        </mc:AlternateContent>
      </w:r>
    </w:p>
    <w:p w14:paraId="1E529CA4">
      <w:pPr>
        <w:jc w:val="center"/>
        <w:rPr>
          <w:rFonts w:hint="eastAsia" w:ascii="黑体" w:hAnsi="黑体" w:eastAsia="黑体" w:cs="黑体"/>
          <w:b/>
          <w:sz w:val="52"/>
        </w:rPr>
      </w:pPr>
    </w:p>
    <w:p w14:paraId="625010B9">
      <w:pPr>
        <w:jc w:val="center"/>
        <w:rPr>
          <w:rFonts w:hint="eastAsia" w:ascii="黑体" w:hAnsi="黑体" w:eastAsia="黑体" w:cs="黑体"/>
          <w:b/>
          <w:sz w:val="52"/>
        </w:rPr>
      </w:pPr>
      <w:r>
        <w:rPr>
          <w:rFonts w:hint="eastAsia" w:ascii="黑体" w:hAnsi="黑体" w:eastAsia="黑体" w:cs="黑体"/>
        </w:rPr>
        <mc:AlternateContent>
          <mc:Choice Requires="wps">
            <w:drawing>
              <wp:anchor distT="0" distB="0" distL="114300" distR="114300" simplePos="0" relativeHeight="251667456" behindDoc="0" locked="1" layoutInCell="0" allowOverlap="1">
                <wp:simplePos x="0" y="0"/>
                <wp:positionH relativeFrom="margin">
                  <wp:posOffset>-242570</wp:posOffset>
                </wp:positionH>
                <wp:positionV relativeFrom="margin">
                  <wp:posOffset>2808605</wp:posOffset>
                </wp:positionV>
                <wp:extent cx="5969000" cy="3601720"/>
                <wp:effectExtent l="0" t="0" r="12700" b="17780"/>
                <wp:wrapNone/>
                <wp:docPr id="23" name="fmFrame4"/>
                <wp:cNvGraphicFramePr/>
                <a:graphic xmlns:a="http://schemas.openxmlformats.org/drawingml/2006/main">
                  <a:graphicData uri="http://schemas.microsoft.com/office/word/2010/wordprocessingShape">
                    <wps:wsp>
                      <wps:cNvSpPr txBox="1"/>
                      <wps:spPr>
                        <a:xfrm>
                          <a:off x="0" y="0"/>
                          <a:ext cx="5969000" cy="3601720"/>
                        </a:xfrm>
                        <a:prstGeom prst="rect">
                          <a:avLst/>
                        </a:prstGeom>
                        <a:solidFill>
                          <a:srgbClr val="FFFFFF"/>
                        </a:solidFill>
                        <a:ln>
                          <a:noFill/>
                        </a:ln>
                      </wps:spPr>
                      <wps:txbx>
                        <w:txbxContent>
                          <w:p w14:paraId="49D95C79">
                            <w:pPr>
                              <w:pStyle w:val="4"/>
                              <w:jc w:val="center"/>
                              <w:rPr>
                                <w:rFonts w:ascii="黑体" w:eastAsia="黑体"/>
                                <w:bCs/>
                                <w:sz w:val="52"/>
                                <w:szCs w:val="28"/>
                              </w:rPr>
                            </w:pPr>
                            <w:r>
                              <w:rPr>
                                <w:rFonts w:hint="eastAsia" w:ascii="黑体" w:eastAsia="黑体"/>
                                <w:bCs/>
                                <w:sz w:val="52"/>
                                <w:szCs w:val="28"/>
                              </w:rPr>
                              <w:t xml:space="preserve">化妆品用原料 根皮素 </w:t>
                            </w:r>
                          </w:p>
                          <w:p w14:paraId="32BD689F">
                            <w:pPr>
                              <w:pStyle w:val="36"/>
                              <w:rPr>
                                <w:rFonts w:hint="eastAsia" w:ascii="黑体" w:hAnsi="黑体" w:eastAsia="黑体" w:cs="黑体"/>
                                <w:sz w:val="28"/>
                              </w:rPr>
                            </w:pPr>
                            <w:r>
                              <w:rPr>
                                <w:rFonts w:hint="eastAsia" w:ascii="黑体" w:hAnsi="黑体" w:eastAsia="黑体" w:cs="黑体"/>
                                <w:sz w:val="28"/>
                              </w:rPr>
                              <w:t>Cosmetic ingredients - Phloretin</w:t>
                            </w:r>
                          </w:p>
                          <w:p w14:paraId="27636D5C">
                            <w:pPr>
                              <w:pStyle w:val="36"/>
                              <w:rPr>
                                <w:sz w:val="24"/>
                                <w:szCs w:val="24"/>
                              </w:rPr>
                            </w:pPr>
                            <w:r>
                              <w:rPr>
                                <w:rFonts w:hint="eastAsia"/>
                                <w:sz w:val="24"/>
                                <w:szCs w:val="24"/>
                              </w:rPr>
                              <w:t>（征求意见稿）</w:t>
                            </w:r>
                          </w:p>
                          <w:p w14:paraId="2C6734D8">
                            <w:pPr>
                              <w:pStyle w:val="36"/>
                              <w:rPr>
                                <w:sz w:val="24"/>
                                <w:szCs w:val="24"/>
                              </w:rPr>
                            </w:pPr>
                          </w:p>
                          <w:p w14:paraId="0E6314D1">
                            <w:pPr>
                              <w:pStyle w:val="36"/>
                              <w:rPr>
                                <w:sz w:val="24"/>
                                <w:szCs w:val="24"/>
                              </w:rPr>
                            </w:pPr>
                          </w:p>
                          <w:p w14:paraId="0A22614F">
                            <w:pPr>
                              <w:pStyle w:val="36"/>
                              <w:rPr>
                                <w:sz w:val="24"/>
                                <w:szCs w:val="24"/>
                              </w:rPr>
                            </w:pPr>
                            <w:r>
                              <w:rPr>
                                <w:rFonts w:hint="eastAsia"/>
                                <w:sz w:val="24"/>
                                <w:szCs w:val="24"/>
                              </w:rPr>
                              <w:t>在提交反馈意见时，请将您知道的相关专利连同支持性文件一并附上。</w:t>
                            </w:r>
                          </w:p>
                        </w:txbxContent>
                      </wps:txbx>
                      <wps:bodyPr wrap="square" lIns="0" tIns="0" rIns="0" bIns="0" upright="1"/>
                    </wps:wsp>
                  </a:graphicData>
                </a:graphic>
              </wp:anchor>
            </w:drawing>
          </mc:Choice>
          <mc:Fallback>
            <w:pict>
              <v:shape id="fmFrame4" o:spid="_x0000_s1026" o:spt="202" type="#_x0000_t202" style="position:absolute;left:0pt;margin-left:-19.1pt;margin-top:221.15pt;height:283.6pt;width:470pt;mso-position-horizontal-relative:margin;mso-position-vertical-relative:margin;z-index:251667456;mso-width-relative:page;mso-height-relative:page;" fillcolor="#FFFFFF" filled="t" stroked="f" coordsize="21600,21600" o:allowincell="f" o:gfxdata="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s97O9oAAAAMAQAADwAAAAAAAAABACAAAAAiAAAA&#10;ZHJzL2Rvd25yZXYueG1sUEsBAhQAFAAAAAgAh07iQDkiLZvMAQAAqAMAAA4AAAAAAAAAAQAgAAAA&#10;KQEAAGRycy9lMm9Eb2MueG1sUEsFBgAAAAAGAAYAWQEAAGcFAAAAAA==&#10;">
                <v:fill on="t" focussize="0,0"/>
                <v:stroke on="f"/>
                <v:imagedata o:title=""/>
                <o:lock v:ext="edit" aspectratio="f"/>
                <v:textbox inset="0mm,0mm,0mm,0mm">
                  <w:txbxContent>
                    <w:p w14:paraId="49D95C79">
                      <w:pPr>
                        <w:pStyle w:val="4"/>
                        <w:jc w:val="center"/>
                        <w:rPr>
                          <w:rFonts w:ascii="黑体" w:eastAsia="黑体"/>
                          <w:bCs/>
                          <w:sz w:val="52"/>
                          <w:szCs w:val="28"/>
                        </w:rPr>
                      </w:pPr>
                      <w:r>
                        <w:rPr>
                          <w:rFonts w:hint="eastAsia" w:ascii="黑体" w:eastAsia="黑体"/>
                          <w:bCs/>
                          <w:sz w:val="52"/>
                          <w:szCs w:val="28"/>
                        </w:rPr>
                        <w:t xml:space="preserve">化妆品用原料 根皮素 </w:t>
                      </w:r>
                    </w:p>
                    <w:p w14:paraId="32BD689F">
                      <w:pPr>
                        <w:pStyle w:val="36"/>
                        <w:rPr>
                          <w:rFonts w:hint="eastAsia" w:ascii="黑体" w:hAnsi="黑体" w:eastAsia="黑体" w:cs="黑体"/>
                          <w:sz w:val="28"/>
                        </w:rPr>
                      </w:pPr>
                      <w:r>
                        <w:rPr>
                          <w:rFonts w:hint="eastAsia" w:ascii="黑体" w:hAnsi="黑体" w:eastAsia="黑体" w:cs="黑体"/>
                          <w:sz w:val="28"/>
                        </w:rPr>
                        <w:t>Cosmetic ingredients - Phloretin</w:t>
                      </w:r>
                    </w:p>
                    <w:p w14:paraId="27636D5C">
                      <w:pPr>
                        <w:pStyle w:val="36"/>
                        <w:rPr>
                          <w:sz w:val="24"/>
                          <w:szCs w:val="24"/>
                        </w:rPr>
                      </w:pPr>
                      <w:r>
                        <w:rPr>
                          <w:rFonts w:hint="eastAsia"/>
                          <w:sz w:val="24"/>
                          <w:szCs w:val="24"/>
                        </w:rPr>
                        <w:t>（征求意见稿）</w:t>
                      </w:r>
                    </w:p>
                    <w:p w14:paraId="2C6734D8">
                      <w:pPr>
                        <w:pStyle w:val="36"/>
                        <w:rPr>
                          <w:sz w:val="24"/>
                          <w:szCs w:val="24"/>
                        </w:rPr>
                      </w:pPr>
                    </w:p>
                    <w:p w14:paraId="0E6314D1">
                      <w:pPr>
                        <w:pStyle w:val="36"/>
                        <w:rPr>
                          <w:sz w:val="24"/>
                          <w:szCs w:val="24"/>
                        </w:rPr>
                      </w:pPr>
                    </w:p>
                    <w:p w14:paraId="0A22614F">
                      <w:pPr>
                        <w:pStyle w:val="36"/>
                        <w:rPr>
                          <w:sz w:val="24"/>
                          <w:szCs w:val="24"/>
                        </w:rPr>
                      </w:pPr>
                      <w:r>
                        <w:rPr>
                          <w:rFonts w:hint="eastAsia"/>
                          <w:sz w:val="24"/>
                          <w:szCs w:val="24"/>
                        </w:rPr>
                        <w:t>在提交反馈意见时，请将您知道的相关专利连同支持性文件一并附上。</w:t>
                      </w:r>
                    </w:p>
                  </w:txbxContent>
                </v:textbox>
                <w10:anchorlock/>
              </v:shape>
            </w:pict>
          </mc:Fallback>
        </mc:AlternateContent>
      </w:r>
    </w:p>
    <w:p w14:paraId="349E7E8C">
      <w:pPr>
        <w:spacing w:before="320" w:after="120" w:line="288" w:lineRule="auto"/>
        <w:jc w:val="left"/>
        <w:outlineLvl w:val="1"/>
        <w:rPr>
          <w:rFonts w:hint="eastAsia" w:ascii="黑体" w:hAnsi="黑体" w:eastAsia="黑体" w:cs="黑体"/>
          <w:b/>
          <w:sz w:val="32"/>
        </w:rPr>
      </w:pPr>
    </w:p>
    <w:p w14:paraId="3F698592">
      <w:pPr>
        <w:spacing w:before="320" w:after="120" w:line="288" w:lineRule="auto"/>
        <w:jc w:val="left"/>
        <w:outlineLvl w:val="1"/>
        <w:rPr>
          <w:rFonts w:hint="eastAsia" w:ascii="黑体" w:hAnsi="黑体" w:eastAsia="黑体" w:cs="黑体"/>
          <w:b/>
          <w:sz w:val="32"/>
        </w:rPr>
      </w:pPr>
    </w:p>
    <w:p w14:paraId="4E35FB2B">
      <w:pPr>
        <w:spacing w:before="320" w:after="120" w:line="288" w:lineRule="auto"/>
        <w:jc w:val="left"/>
        <w:outlineLvl w:val="1"/>
        <w:rPr>
          <w:rFonts w:hint="eastAsia" w:ascii="黑体" w:hAnsi="黑体" w:eastAsia="黑体" w:cs="黑体"/>
          <w:b/>
          <w:sz w:val="32"/>
        </w:rPr>
      </w:pPr>
    </w:p>
    <w:p w14:paraId="07F18541">
      <w:pPr>
        <w:spacing w:before="320" w:after="120" w:line="288" w:lineRule="auto"/>
        <w:jc w:val="left"/>
        <w:outlineLvl w:val="1"/>
        <w:rPr>
          <w:rFonts w:hint="eastAsia" w:ascii="黑体" w:hAnsi="黑体" w:eastAsia="黑体" w:cs="黑体"/>
          <w:b/>
          <w:sz w:val="32"/>
        </w:rPr>
      </w:pPr>
    </w:p>
    <w:p w14:paraId="5791BFEA">
      <w:pPr>
        <w:spacing w:before="320" w:after="120" w:line="288" w:lineRule="auto"/>
        <w:jc w:val="left"/>
        <w:outlineLvl w:val="1"/>
        <w:rPr>
          <w:rFonts w:hint="eastAsia" w:ascii="黑体" w:hAnsi="黑体" w:eastAsia="黑体" w:cs="黑体"/>
          <w:b/>
          <w:sz w:val="32"/>
        </w:rPr>
      </w:pPr>
    </w:p>
    <w:p w14:paraId="0D7C61C8">
      <w:pPr>
        <w:spacing w:before="320" w:after="120" w:line="288" w:lineRule="auto"/>
        <w:jc w:val="left"/>
        <w:outlineLvl w:val="1"/>
        <w:rPr>
          <w:rFonts w:hint="eastAsia" w:ascii="黑体" w:hAnsi="黑体" w:eastAsia="黑体" w:cs="黑体"/>
          <w:b/>
          <w:sz w:val="32"/>
        </w:rPr>
      </w:pPr>
    </w:p>
    <w:p w14:paraId="77BFED1A">
      <w:pPr>
        <w:spacing w:before="320" w:after="120" w:line="288" w:lineRule="auto"/>
        <w:jc w:val="left"/>
        <w:outlineLvl w:val="1"/>
        <w:rPr>
          <w:rFonts w:hint="eastAsia" w:ascii="黑体" w:hAnsi="黑体" w:eastAsia="黑体" w:cs="黑体"/>
          <w:b/>
          <w:sz w:val="32"/>
        </w:rPr>
      </w:pPr>
    </w:p>
    <w:p w14:paraId="18F7E82C">
      <w:pPr>
        <w:spacing w:before="320" w:after="120" w:line="288" w:lineRule="auto"/>
        <w:jc w:val="left"/>
        <w:outlineLvl w:val="1"/>
        <w:rPr>
          <w:rFonts w:hint="eastAsia" w:ascii="黑体" w:hAnsi="黑体" w:eastAsia="黑体" w:cs="黑体"/>
          <w:b/>
          <w:sz w:val="32"/>
        </w:rPr>
      </w:pPr>
    </w:p>
    <w:p w14:paraId="79929ED9">
      <w:pPr>
        <w:spacing w:before="320" w:after="120" w:line="288" w:lineRule="auto"/>
        <w:jc w:val="left"/>
        <w:outlineLvl w:val="1"/>
        <w:rPr>
          <w:rFonts w:hint="eastAsia" w:ascii="黑体" w:hAnsi="黑体" w:eastAsia="黑体" w:cs="黑体"/>
          <w:b/>
          <w:sz w:val="32"/>
        </w:rPr>
      </w:pPr>
    </w:p>
    <w:p w14:paraId="08E4D3E3">
      <w:pPr>
        <w:spacing w:before="320" w:after="120" w:line="288" w:lineRule="auto"/>
        <w:jc w:val="left"/>
        <w:outlineLvl w:val="1"/>
        <w:rPr>
          <w:rFonts w:hint="eastAsia" w:ascii="黑体" w:hAnsi="黑体" w:eastAsia="黑体" w:cs="黑体"/>
          <w:b/>
          <w:sz w:val="32"/>
        </w:rPr>
      </w:pPr>
    </w:p>
    <w:p w14:paraId="4DA1520D">
      <w:pPr>
        <w:spacing w:before="320" w:after="120" w:line="288" w:lineRule="auto"/>
        <w:jc w:val="left"/>
        <w:outlineLvl w:val="1"/>
        <w:rPr>
          <w:rFonts w:hint="eastAsia" w:ascii="黑体" w:hAnsi="黑体" w:eastAsia="黑体" w:cs="黑体"/>
          <w:b/>
          <w:sz w:val="32"/>
        </w:rPr>
      </w:pPr>
      <w:r>
        <w:rPr>
          <w:rFonts w:hint="eastAsia" w:ascii="黑体" w:hAnsi="黑体" w:eastAsia="黑体" w:cs="黑体"/>
        </w:rPr>
        <mc:AlternateContent>
          <mc:Choice Requires="wps">
            <w:drawing>
              <wp:anchor distT="0" distB="0" distL="114300" distR="114300" simplePos="0" relativeHeight="251673600" behindDoc="0" locked="1" layoutInCell="1" allowOverlap="1">
                <wp:simplePos x="0" y="0"/>
                <wp:positionH relativeFrom="column">
                  <wp:posOffset>-292735</wp:posOffset>
                </wp:positionH>
                <wp:positionV relativeFrom="page">
                  <wp:posOffset>9051925</wp:posOffset>
                </wp:positionV>
                <wp:extent cx="6120130" cy="0"/>
                <wp:effectExtent l="0" t="4445" r="0" b="5080"/>
                <wp:wrapNone/>
                <wp:docPr id="12"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margin-left:-23.05pt;margin-top:712.75pt;height:0pt;width:481.9pt;mso-position-vertical-relative:page;z-index:251673600;mso-width-relative:page;mso-height-relative:page;" filled="f" stroked="t" coordsize="21600,21600" o:gfxdata="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WWcP2AAAAA0BAAAPAAAAAAAAAAEAIAAAACIAAABkcnMvZG93bnJldi54bWxQSwECFAAU&#10;AAAACACHTuJAV5nVXfEBAADnAwAADgAAAAAAAAABACAAAAAnAQAAZHJzL2Uyb0RvYy54bWxQSwUG&#10;AAAAAAYABgBZAQAAigUAAAAA&#10;">
                <v:fill on="f" focussize="0,0"/>
                <v:stroke color="#000000" joinstyle="round"/>
                <v:imagedata o:title=""/>
                <o:lock v:ext="edit" aspectratio="f"/>
                <w10:anchorlock/>
              </v:line>
            </w:pict>
          </mc:Fallback>
        </mc:AlternateContent>
      </w:r>
      <w:r>
        <w:rPr>
          <w:rFonts w:hint="eastAsia" w:ascii="黑体" w:hAnsi="黑体" w:eastAsia="黑体" w:cs="黑体"/>
        </w:rPr>
        <mc:AlternateContent>
          <mc:Choice Requires="wps">
            <w:drawing>
              <wp:anchor distT="0" distB="0" distL="114300" distR="114300" simplePos="0" relativeHeight="251671552" behindDoc="0" locked="1" layoutInCell="1" allowOverlap="1">
                <wp:simplePos x="0" y="0"/>
                <wp:positionH relativeFrom="margin">
                  <wp:posOffset>334645</wp:posOffset>
                </wp:positionH>
                <wp:positionV relativeFrom="margin">
                  <wp:posOffset>8213090</wp:posOffset>
                </wp:positionV>
                <wp:extent cx="4371340" cy="377190"/>
                <wp:effectExtent l="0" t="0" r="10160" b="3810"/>
                <wp:wrapNone/>
                <wp:docPr id="6" name="fmFrame7"/>
                <wp:cNvGraphicFramePr/>
                <a:graphic xmlns:a="http://schemas.openxmlformats.org/drawingml/2006/main">
                  <a:graphicData uri="http://schemas.microsoft.com/office/word/2010/wordprocessingShape">
                    <wps:wsp>
                      <wps:cNvSpPr txBox="1"/>
                      <wps:spPr>
                        <a:xfrm>
                          <a:off x="0" y="0"/>
                          <a:ext cx="4371340" cy="377190"/>
                        </a:xfrm>
                        <a:prstGeom prst="rect">
                          <a:avLst/>
                        </a:prstGeom>
                        <a:solidFill>
                          <a:srgbClr val="FFFFFF"/>
                        </a:solidFill>
                        <a:ln>
                          <a:noFill/>
                        </a:ln>
                      </wps:spPr>
                      <wps:txbx>
                        <w:txbxContent>
                          <w:p w14:paraId="4B882CDE">
                            <w:pPr>
                              <w:pStyle w:val="37"/>
                              <w:rPr>
                                <w:rFonts w:hint="eastAsia"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422E134B">
                            <w:pPr>
                              <w:rPr>
                                <w:szCs w:val="32"/>
                              </w:rPr>
                            </w:pPr>
                          </w:p>
                        </w:txbxContent>
                      </wps:txbx>
                      <wps:bodyPr wrap="square" lIns="0" tIns="0" rIns="0" bIns="0" upright="1"/>
                    </wps:wsp>
                  </a:graphicData>
                </a:graphic>
              </wp:anchor>
            </w:drawing>
          </mc:Choice>
          <mc:Fallback>
            <w:pict>
              <v:shape id="fmFrame7" o:spid="_x0000_s1026" o:spt="202" type="#_x0000_t202" style="position:absolute;left:0pt;margin-left:26.35pt;margin-top:646.7pt;height:29.7pt;width:344.2pt;mso-position-horizontal-relative:margin;mso-position-vertical-relative:margin;z-index:251671552;mso-width-relative:page;mso-height-relative:page;" fillcolor="#FFFFFF" filled="t" stroked="f" coordsize="21600,21600" o:gfxdata="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Qm+1jaAAAADAEAAA8AAAAAAAAAAQAgAAAAIgAAAGRy&#10;cy9kb3ducmV2LnhtbFBLAQIUABQAAAAIAIdO4kDnUfkwygEAAKYDAAAOAAAAAAAAAAEAIAAAACkB&#10;AABkcnMvZTJvRG9jLnhtbFBLBQYAAAAABgAGAFkBAABlBQAAAAA=&#10;">
                <v:fill on="t" focussize="0,0"/>
                <v:stroke on="f"/>
                <v:imagedata o:title=""/>
                <o:lock v:ext="edit" aspectratio="f"/>
                <v:textbox inset="0mm,0mm,0mm,0mm">
                  <w:txbxContent>
                    <w:p w14:paraId="4B882CDE">
                      <w:pPr>
                        <w:pStyle w:val="37"/>
                        <w:rPr>
                          <w:rFonts w:hint="eastAsia"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422E134B">
                      <w:pPr>
                        <w:rPr>
                          <w:szCs w:val="32"/>
                        </w:rPr>
                      </w:pPr>
                    </w:p>
                  </w:txbxContent>
                </v:textbox>
                <w10:anchorlock/>
              </v:shape>
            </w:pict>
          </mc:Fallback>
        </mc:AlternateContent>
      </w:r>
      <w:r>
        <w:rPr>
          <w:rFonts w:hint="eastAsia" w:ascii="黑体" w:hAnsi="黑体" w:eastAsia="黑体" w:cs="黑体"/>
        </w:rPr>
        <mc:AlternateContent>
          <mc:Choice Requires="wps">
            <w:drawing>
              <wp:anchor distT="0" distB="0" distL="114300" distR="114300" simplePos="0" relativeHeight="251670528" behindDoc="0" locked="0" layoutInCell="0" allowOverlap="1">
                <wp:simplePos x="0" y="0"/>
                <wp:positionH relativeFrom="column">
                  <wp:posOffset>-242570</wp:posOffset>
                </wp:positionH>
                <wp:positionV relativeFrom="paragraph">
                  <wp:posOffset>705485</wp:posOffset>
                </wp:positionV>
                <wp:extent cx="6121400" cy="0"/>
                <wp:effectExtent l="0" t="6350" r="0" b="6350"/>
                <wp:wrapNone/>
                <wp:docPr id="8" name="直线 3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3" o:spid="_x0000_s1026" o:spt="20" style="position:absolute;left:0pt;margin-left:-19.1pt;margin-top:55.55pt;height:0pt;width:482pt;z-index:251670528;mso-width-relative:page;mso-height-relative:page;" filled="f" stroked="t" coordsize="21600,21600" o:allowincell="f" o:gfxdata="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L9c11wAAAAsBAAAP&#10;AAAAAAAAAAEAIAAAACIAAABkcnMvZG93bnJldi54bWxQSwECFAAUAAAACACHTuJAkV41XeABAADR&#10;AwAADgAAAAAAAAABACAAAAAmAQAAZHJzL2Uyb0RvYy54bWxQSwUGAAAAAAYABgBZAQAAeAUAAAAA&#10;">
                <v:fill on="f" focussize="0,0"/>
                <v:stroke weight="1pt" color="#FFFFFF"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69504" behindDoc="0" locked="1" layoutInCell="0" allowOverlap="1">
                <wp:simplePos x="0" y="0"/>
                <wp:positionH relativeFrom="margin">
                  <wp:posOffset>3741420</wp:posOffset>
                </wp:positionH>
                <wp:positionV relativeFrom="margin">
                  <wp:posOffset>7825105</wp:posOffset>
                </wp:positionV>
                <wp:extent cx="2019300" cy="347980"/>
                <wp:effectExtent l="0" t="0" r="0" b="13970"/>
                <wp:wrapNone/>
                <wp:docPr id="5" name="fmFrame6"/>
                <wp:cNvGraphicFramePr/>
                <a:graphic xmlns:a="http://schemas.openxmlformats.org/drawingml/2006/main">
                  <a:graphicData uri="http://schemas.microsoft.com/office/word/2010/wordprocessingShape">
                    <wps:wsp>
                      <wps:cNvSpPr txBox="1"/>
                      <wps:spPr>
                        <a:xfrm>
                          <a:off x="0" y="0"/>
                          <a:ext cx="2019300" cy="347980"/>
                        </a:xfrm>
                        <a:prstGeom prst="rect">
                          <a:avLst/>
                        </a:prstGeom>
                        <a:solidFill>
                          <a:srgbClr val="FFFFFF"/>
                        </a:solidFill>
                        <a:ln>
                          <a:noFill/>
                        </a:ln>
                      </wps:spPr>
                      <wps:txbx>
                        <w:txbxContent>
                          <w:p w14:paraId="2F70EC84">
                            <w:pPr>
                              <w:pStyle w:val="38"/>
                            </w:pPr>
                            <w:r>
                              <w:rPr>
                                <w:rFonts w:hint="eastAsia" w:ascii="黑体" w:hAnsi="黑体" w:cs="黑体"/>
                              </w:rPr>
                              <w:t>202×-××-××实施</w:t>
                            </w:r>
                          </w:p>
                          <w:p w14:paraId="1A2E54A7">
                            <w:pPr>
                              <w:rPr>
                                <w:rFonts w:eastAsia="黑体"/>
                                <w:sz w:val="28"/>
                                <w:szCs w:val="28"/>
                              </w:rPr>
                            </w:pPr>
                          </w:p>
                          <w:p w14:paraId="7E725631"/>
                        </w:txbxContent>
                      </wps:txbx>
                      <wps:bodyPr wrap="square" lIns="0" tIns="0" rIns="0" bIns="0" upright="1"/>
                    </wps:wsp>
                  </a:graphicData>
                </a:graphic>
              </wp:anchor>
            </w:drawing>
          </mc:Choice>
          <mc:Fallback>
            <w:pict>
              <v:shape id="fmFrame6" o:spid="_x0000_s1026" o:spt="202" type="#_x0000_t202" style="position:absolute;left:0pt;margin-left:294.6pt;margin-top:616.15pt;height:27.4pt;width:159pt;mso-position-horizontal-relative:margin;mso-position-vertical-relative:margin;z-index:251669504;mso-width-relative:page;mso-height-relative:page;" fillcolor="#FFFFFF" filled="t" stroked="f" coordsize="21600,21600" o:allowincell="f" o:gfxdata="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uqCwNoAAAANAQAADwAAAAAAAAABACAAAAAiAAAAZHJz&#10;L2Rvd25yZXYueG1sUEsBAhQAFAAAAAgAh07iQEIrzn3JAQAApgMAAA4AAAAAAAAAAQAgAAAAKQEA&#10;AGRycy9lMm9Eb2MueG1sUEsFBgAAAAAGAAYAWQEAAGQFAAAAAA==&#10;">
                <v:fill on="t" focussize="0,0"/>
                <v:stroke on="f"/>
                <v:imagedata o:title=""/>
                <o:lock v:ext="edit" aspectratio="f"/>
                <v:textbox inset="0mm,0mm,0mm,0mm">
                  <w:txbxContent>
                    <w:p w14:paraId="2F70EC84">
                      <w:pPr>
                        <w:pStyle w:val="38"/>
                      </w:pPr>
                      <w:r>
                        <w:rPr>
                          <w:rFonts w:hint="eastAsia" w:ascii="黑体" w:hAnsi="黑体" w:cs="黑体"/>
                        </w:rPr>
                        <w:t>202×-××-××实施</w:t>
                      </w:r>
                    </w:p>
                    <w:p w14:paraId="1A2E54A7">
                      <w:pPr>
                        <w:rPr>
                          <w:rFonts w:eastAsia="黑体"/>
                          <w:sz w:val="28"/>
                          <w:szCs w:val="28"/>
                        </w:rPr>
                      </w:pPr>
                    </w:p>
                    <w:p w14:paraId="7E725631"/>
                  </w:txbxContent>
                </v:textbox>
                <w10:anchorlock/>
              </v:shape>
            </w:pict>
          </mc:Fallback>
        </mc:AlternateContent>
      </w:r>
      <w:r>
        <w:rPr>
          <w:rFonts w:hint="eastAsia" w:ascii="黑体" w:hAnsi="黑体" w:eastAsia="黑体" w:cs="黑体"/>
        </w:rPr>
        <mc:AlternateContent>
          <mc:Choice Requires="wps">
            <w:drawing>
              <wp:anchor distT="0" distB="0" distL="114300" distR="114300" simplePos="0" relativeHeight="251668480" behindDoc="0" locked="1" layoutInCell="0" allowOverlap="1">
                <wp:simplePos x="0" y="0"/>
                <wp:positionH relativeFrom="margin">
                  <wp:posOffset>-242570</wp:posOffset>
                </wp:positionH>
                <wp:positionV relativeFrom="margin">
                  <wp:posOffset>7825105</wp:posOffset>
                </wp:positionV>
                <wp:extent cx="2019300" cy="312420"/>
                <wp:effectExtent l="0" t="0" r="0" b="11430"/>
                <wp:wrapNone/>
                <wp:docPr id="2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524E6FE7">
                            <w:pPr>
                              <w:pStyle w:val="38"/>
                              <w:jc w:val="left"/>
                              <w:rPr>
                                <w:rFonts w:hint="eastAsia" w:ascii="黑体" w:hAnsi="黑体" w:cs="黑体"/>
                              </w:rPr>
                            </w:pPr>
                            <w:r>
                              <w:rPr>
                                <w:rFonts w:hint="eastAsia" w:ascii="黑体" w:hAnsi="黑体" w:cs="黑体"/>
                              </w:rPr>
                              <w:t>202×-××-××发布</w:t>
                            </w:r>
                          </w:p>
                          <w:p w14:paraId="2627CB49">
                            <w:pPr>
                              <w:rPr>
                                <w:sz w:val="28"/>
                                <w:szCs w:val="28"/>
                              </w:rPr>
                            </w:pPr>
                          </w:p>
                          <w:p w14:paraId="5FAE653E">
                            <w:pPr>
                              <w:rPr>
                                <w:rFonts w:ascii="黑体" w:eastAsia="黑体"/>
                                <w:sz w:val="28"/>
                                <w:szCs w:val="28"/>
                              </w:rPr>
                            </w:pPr>
                          </w:p>
                        </w:txbxContent>
                      </wps:txbx>
                      <wps:bodyPr wrap="square" lIns="0" tIns="0" rIns="0" bIns="0" upright="1"/>
                    </wps:wsp>
                  </a:graphicData>
                </a:graphic>
              </wp:anchor>
            </w:drawing>
          </mc:Choice>
          <mc:Fallback>
            <w:pict>
              <v:shape id="fmFrame5" o:spid="_x0000_s1026" o:spt="202" type="#_x0000_t202" style="position:absolute;left:0pt;margin-left:-19.1pt;margin-top:616.15pt;height:24.6pt;width:159pt;mso-position-horizontal-relative:margin;mso-position-vertical-relative:margin;z-index:251668480;mso-width-relative:page;mso-height-relative:page;" fillcolor="#FFFFFF" filled="t" stroked="f" coordsize="21600,21600" o:allowincell="f" o:gfxdata="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ek8KbbAAAADQEAAA8AAAAAAAAAAQAgAAAAIgAAAGRy&#10;cy9kb3ducmV2LnhtbFBLAQIUABQAAAAIAIdO4kCwpasJyQEAAKcDAAAOAAAAAAAAAAEAIAAAACoB&#10;AABkcnMvZTJvRG9jLnhtbFBLBQYAAAAABgAGAFkBAABlBQAAAAA=&#10;">
                <v:fill on="t" focussize="0,0"/>
                <v:stroke on="f"/>
                <v:imagedata o:title=""/>
                <o:lock v:ext="edit" aspectratio="f"/>
                <v:textbox inset="0mm,0mm,0mm,0mm">
                  <w:txbxContent>
                    <w:p w14:paraId="524E6FE7">
                      <w:pPr>
                        <w:pStyle w:val="38"/>
                        <w:jc w:val="left"/>
                        <w:rPr>
                          <w:rFonts w:hint="eastAsia" w:ascii="黑体" w:hAnsi="黑体" w:cs="黑体"/>
                        </w:rPr>
                      </w:pPr>
                      <w:r>
                        <w:rPr>
                          <w:rFonts w:hint="eastAsia" w:ascii="黑体" w:hAnsi="黑体" w:cs="黑体"/>
                        </w:rPr>
                        <w:t>202×-××-××发布</w:t>
                      </w:r>
                    </w:p>
                    <w:p w14:paraId="2627CB49">
                      <w:pPr>
                        <w:rPr>
                          <w:sz w:val="28"/>
                          <w:szCs w:val="28"/>
                        </w:rPr>
                      </w:pPr>
                    </w:p>
                    <w:p w14:paraId="5FAE653E">
                      <w:pPr>
                        <w:rPr>
                          <w:rFonts w:ascii="黑体" w:eastAsia="黑体"/>
                          <w:sz w:val="28"/>
                          <w:szCs w:val="28"/>
                        </w:rPr>
                      </w:pPr>
                    </w:p>
                  </w:txbxContent>
                </v:textbox>
                <w10:anchorlock/>
              </v:shape>
            </w:pict>
          </mc:Fallback>
        </mc:AlternateContent>
      </w:r>
    </w:p>
    <w:p w14:paraId="40D5AB78">
      <w:pPr>
        <w:spacing w:before="320" w:after="120" w:line="288" w:lineRule="auto"/>
        <w:jc w:val="left"/>
        <w:outlineLvl w:val="1"/>
        <w:rPr>
          <w:rFonts w:hint="eastAsia" w:ascii="黑体" w:hAnsi="黑体" w:eastAsia="黑体" w:cs="黑体"/>
          <w:b/>
          <w:sz w:val="32"/>
        </w:rPr>
      </w:pPr>
      <w:r>
        <w:rPr>
          <w:rFonts w:hint="eastAsia" w:ascii="黑体" w:hAnsi="黑体" w:eastAsia="黑体" w:cs="黑体"/>
        </w:rPr>
        <mc:AlternateContent>
          <mc:Choice Requires="wps">
            <w:drawing>
              <wp:anchor distT="0" distB="0" distL="114300" distR="114300" simplePos="0" relativeHeight="251672576" behindDoc="0" locked="0" layoutInCell="1" allowOverlap="1">
                <wp:simplePos x="0" y="0"/>
                <wp:positionH relativeFrom="column">
                  <wp:posOffset>4237355</wp:posOffset>
                </wp:positionH>
                <wp:positionV relativeFrom="paragraph">
                  <wp:posOffset>7620</wp:posOffset>
                </wp:positionV>
                <wp:extent cx="666750" cy="39624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666750" cy="396240"/>
                        </a:xfrm>
                        <a:prstGeom prst="rect">
                          <a:avLst/>
                        </a:prstGeom>
                        <a:noFill/>
                        <a:ln>
                          <a:noFill/>
                        </a:ln>
                      </wps:spPr>
                      <wps:txbx>
                        <w:txbxContent>
                          <w:p w14:paraId="7857F2CE">
                            <w:pPr>
                              <w:rPr>
                                <w:rFonts w:ascii="黑体" w:eastAsia="黑体"/>
                                <w:sz w:val="30"/>
                                <w:szCs w:val="30"/>
                              </w:rPr>
                            </w:pPr>
                            <w:r>
                              <w:rPr>
                                <w:rFonts w:hint="eastAsia" w:ascii="黑体" w:eastAsia="黑体"/>
                                <w:sz w:val="30"/>
                                <w:szCs w:val="30"/>
                              </w:rPr>
                              <w:t>发布</w:t>
                            </w:r>
                          </w:p>
                        </w:txbxContent>
                      </wps:txbx>
                      <wps:bodyPr wrap="square" upright="1"/>
                    </wps:wsp>
                  </a:graphicData>
                </a:graphic>
              </wp:anchor>
            </w:drawing>
          </mc:Choice>
          <mc:Fallback>
            <w:pict>
              <v:shape id="文本框 34" o:spid="_x0000_s1026" o:spt="202" type="#_x0000_t202" style="position:absolute;left:0pt;margin-left:333.65pt;margin-top:0.6pt;height:31.2pt;width:52.5pt;z-index:251672576;mso-width-relative:page;mso-height-relative:page;" filled="f" stroked="f" coordsize="21600,21600" o:gfxdata="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rXnzNUAAAAIAQAADwAAAAAAAAABACAAAAAiAAAAZHJzL2Rvd25yZXYueG1sUEsBAhQAFAAA&#10;AAgAh07iQBKiAB+5AQAAXAMAAA4AAAAAAAAAAQAgAAAAJAEAAGRycy9lMm9Eb2MueG1sUEsFBgAA&#10;AAAGAAYAWQEAAE8FAAAAAA==&#10;">
                <v:fill on="f" focussize="0,0"/>
                <v:stroke on="f"/>
                <v:imagedata o:title=""/>
                <o:lock v:ext="edit" aspectratio="f"/>
                <v:textbox>
                  <w:txbxContent>
                    <w:p w14:paraId="7857F2CE">
                      <w:pPr>
                        <w:rPr>
                          <w:rFonts w:ascii="黑体" w:eastAsia="黑体"/>
                          <w:sz w:val="30"/>
                          <w:szCs w:val="30"/>
                        </w:rPr>
                      </w:pPr>
                      <w:r>
                        <w:rPr>
                          <w:rFonts w:hint="eastAsia" w:ascii="黑体" w:eastAsia="黑体"/>
                          <w:sz w:val="30"/>
                          <w:szCs w:val="30"/>
                        </w:rPr>
                        <w:t>发布</w:t>
                      </w:r>
                    </w:p>
                  </w:txbxContent>
                </v:textbox>
              </v:shape>
            </w:pict>
          </mc:Fallback>
        </mc:AlternateContent>
      </w:r>
    </w:p>
    <w:p w14:paraId="601FDFE7">
      <w:pPr>
        <w:spacing w:before="320" w:after="120" w:line="360" w:lineRule="auto"/>
        <w:jc w:val="center"/>
        <w:outlineLvl w:val="1"/>
        <w:rPr>
          <w:rFonts w:hint="eastAsia" w:ascii="黑体" w:hAnsi="黑体" w:eastAsia="黑体" w:cs="黑体"/>
          <w:sz w:val="32"/>
          <w:szCs w:val="32"/>
        </w:rPr>
        <w:sectPr>
          <w:headerReference r:id="rId5" w:type="first"/>
          <w:headerReference r:id="rId3" w:type="default"/>
          <w:headerReference r:id="rId4" w:type="even"/>
          <w:pgSz w:w="11905" w:h="16840" w:orient="landscape"/>
          <w:pgMar w:top="1440" w:right="1800" w:bottom="1440" w:left="1800" w:header="720" w:footer="720" w:gutter="0"/>
          <w:cols w:space="720" w:num="1"/>
          <w:titlePg/>
        </w:sectPr>
      </w:pPr>
    </w:p>
    <w:p w14:paraId="41DD7B6E">
      <w:pPr>
        <w:pStyle w:val="13"/>
        <w:spacing w:after="360"/>
      </w:pPr>
      <w:r>
        <w:rPr>
          <w:rFonts w:hint="eastAsia"/>
          <w:spacing w:val="320"/>
        </w:rPr>
        <w:t>目</w:t>
      </w:r>
      <w:r>
        <w:rPr>
          <w:rFonts w:hint="eastAsia"/>
        </w:rPr>
        <w:t>次</w:t>
      </w:r>
    </w:p>
    <w:p w14:paraId="78DB2B32">
      <w:pPr>
        <w:pStyle w:val="7"/>
        <w:tabs>
          <w:tab w:val="right" w:leader="dot" w:pos="8305"/>
        </w:tabs>
      </w:pPr>
      <w:r>
        <w:fldChar w:fldCharType="begin"/>
      </w:r>
      <w:r>
        <w:instrText xml:space="preserve"> TOC \o "1-1" \h </w:instrText>
      </w:r>
      <w:r>
        <w:fldChar w:fldCharType="separate"/>
      </w:r>
      <w:r>
        <w:fldChar w:fldCharType="begin"/>
      </w:r>
      <w:r>
        <w:instrText xml:space="preserve"> HYPERLINK \l _Toc9314 </w:instrText>
      </w:r>
      <w:r>
        <w:fldChar w:fldCharType="separate"/>
      </w:r>
      <w:r>
        <w:rPr>
          <w:rFonts w:hint="eastAsia" w:ascii="宋体" w:hAnsiTheme="minorHAnsi" w:eastAsiaTheme="minorEastAsia" w:cstheme="minorBidi"/>
          <w:szCs w:val="22"/>
        </w:rPr>
        <w:t>前言</w:t>
      </w:r>
      <w:r>
        <w:tab/>
      </w:r>
      <w:r>
        <w:fldChar w:fldCharType="begin"/>
      </w:r>
      <w:r>
        <w:instrText xml:space="preserve"> PAGEREF _Toc9314 \h </w:instrText>
      </w:r>
      <w:r>
        <w:fldChar w:fldCharType="separate"/>
      </w:r>
      <w:r>
        <w:t>II</w:t>
      </w:r>
      <w:r>
        <w:fldChar w:fldCharType="end"/>
      </w:r>
      <w:r>
        <w:fldChar w:fldCharType="end"/>
      </w:r>
    </w:p>
    <w:p w14:paraId="7D4171A4">
      <w:pPr>
        <w:pStyle w:val="7"/>
        <w:tabs>
          <w:tab w:val="right" w:leader="dot" w:pos="8305"/>
        </w:tabs>
      </w:pPr>
      <w:r>
        <w:fldChar w:fldCharType="begin"/>
      </w:r>
      <w:r>
        <w:instrText xml:space="preserve"> HYPERLINK \l _Toc19811 </w:instrText>
      </w:r>
      <w:r>
        <w:fldChar w:fldCharType="separate"/>
      </w:r>
      <w:r>
        <w:rPr>
          <w:rFonts w:hint="eastAsia" w:ascii="宋体" w:hAnsiTheme="minorHAnsi" w:eastAsiaTheme="minorEastAsia" w:cstheme="minorBidi"/>
          <w:bCs w:val="0"/>
          <w:szCs w:val="22"/>
        </w:rPr>
        <w:t>1 范围</w:t>
      </w:r>
      <w:r>
        <w:tab/>
      </w:r>
      <w:r>
        <w:fldChar w:fldCharType="begin"/>
      </w:r>
      <w:r>
        <w:instrText xml:space="preserve"> PAGEREF _Toc19811 \h </w:instrText>
      </w:r>
      <w:r>
        <w:fldChar w:fldCharType="separate"/>
      </w:r>
      <w:r>
        <w:t>3</w:t>
      </w:r>
      <w:r>
        <w:fldChar w:fldCharType="end"/>
      </w:r>
      <w:r>
        <w:fldChar w:fldCharType="end"/>
      </w:r>
    </w:p>
    <w:p w14:paraId="7D08E351">
      <w:pPr>
        <w:pStyle w:val="7"/>
        <w:tabs>
          <w:tab w:val="right" w:leader="dot" w:pos="8305"/>
        </w:tabs>
      </w:pPr>
      <w:r>
        <w:fldChar w:fldCharType="begin"/>
      </w:r>
      <w:r>
        <w:instrText xml:space="preserve"> HYPERLINK \l _Toc6103 </w:instrText>
      </w:r>
      <w:r>
        <w:fldChar w:fldCharType="separate"/>
      </w:r>
      <w:r>
        <w:rPr>
          <w:rFonts w:hint="eastAsia" w:ascii="宋体" w:hAnsiTheme="minorHAnsi" w:eastAsiaTheme="minorEastAsia" w:cstheme="minorBidi"/>
          <w:szCs w:val="22"/>
        </w:rPr>
        <w:t>2 规范性引用文件</w:t>
      </w:r>
      <w:r>
        <w:tab/>
      </w:r>
      <w:r>
        <w:fldChar w:fldCharType="begin"/>
      </w:r>
      <w:r>
        <w:instrText xml:space="preserve"> PAGEREF _Toc6103 \h </w:instrText>
      </w:r>
      <w:r>
        <w:fldChar w:fldCharType="separate"/>
      </w:r>
      <w:r>
        <w:t>3</w:t>
      </w:r>
      <w:r>
        <w:fldChar w:fldCharType="end"/>
      </w:r>
      <w:r>
        <w:fldChar w:fldCharType="end"/>
      </w:r>
    </w:p>
    <w:p w14:paraId="4E720853">
      <w:pPr>
        <w:pStyle w:val="7"/>
        <w:tabs>
          <w:tab w:val="right" w:leader="dot" w:pos="8305"/>
        </w:tabs>
      </w:pPr>
      <w:r>
        <w:fldChar w:fldCharType="begin"/>
      </w:r>
      <w:r>
        <w:instrText xml:space="preserve"> HYPERLINK \l _Toc26296 </w:instrText>
      </w:r>
      <w:r>
        <w:fldChar w:fldCharType="separate"/>
      </w:r>
      <w:r>
        <w:rPr>
          <w:rFonts w:hint="eastAsia" w:ascii="宋体" w:hAnsiTheme="minorHAnsi" w:eastAsiaTheme="minorEastAsia" w:cstheme="minorBidi"/>
          <w:szCs w:val="22"/>
        </w:rPr>
        <w:t>3 术语和定义</w:t>
      </w:r>
      <w:r>
        <w:tab/>
      </w:r>
      <w:r>
        <w:fldChar w:fldCharType="begin"/>
      </w:r>
      <w:r>
        <w:instrText xml:space="preserve"> PAGEREF _Toc26296 \h </w:instrText>
      </w:r>
      <w:r>
        <w:fldChar w:fldCharType="separate"/>
      </w:r>
      <w:r>
        <w:t>3</w:t>
      </w:r>
      <w:r>
        <w:fldChar w:fldCharType="end"/>
      </w:r>
      <w:r>
        <w:fldChar w:fldCharType="end"/>
      </w:r>
    </w:p>
    <w:p w14:paraId="7AA206B9">
      <w:pPr>
        <w:pStyle w:val="7"/>
        <w:tabs>
          <w:tab w:val="right" w:leader="dot" w:pos="8305"/>
        </w:tabs>
      </w:pPr>
      <w:r>
        <w:fldChar w:fldCharType="begin"/>
      </w:r>
      <w:r>
        <w:instrText xml:space="preserve"> HYPERLINK \l _Toc23758 </w:instrText>
      </w:r>
      <w:r>
        <w:fldChar w:fldCharType="separate"/>
      </w:r>
      <w:r>
        <w:rPr>
          <w:rFonts w:hint="eastAsia" w:ascii="宋体" w:hAnsiTheme="minorHAnsi" w:eastAsiaTheme="minorEastAsia" w:cstheme="minorBidi"/>
          <w:szCs w:val="22"/>
        </w:rPr>
        <w:t>4 基本信息</w:t>
      </w:r>
      <w:r>
        <w:tab/>
      </w:r>
      <w:r>
        <w:fldChar w:fldCharType="begin"/>
      </w:r>
      <w:r>
        <w:instrText xml:space="preserve"> PAGEREF _Toc23758 \h </w:instrText>
      </w:r>
      <w:r>
        <w:fldChar w:fldCharType="separate"/>
      </w:r>
      <w:r>
        <w:t>3</w:t>
      </w:r>
      <w:r>
        <w:fldChar w:fldCharType="end"/>
      </w:r>
      <w:r>
        <w:fldChar w:fldCharType="end"/>
      </w:r>
    </w:p>
    <w:p w14:paraId="232EF3C2">
      <w:pPr>
        <w:pStyle w:val="7"/>
        <w:tabs>
          <w:tab w:val="right" w:leader="dot" w:pos="8305"/>
        </w:tabs>
      </w:pPr>
      <w:r>
        <w:fldChar w:fldCharType="begin"/>
      </w:r>
      <w:r>
        <w:instrText xml:space="preserve"> HYPERLINK \l _Toc18956 </w:instrText>
      </w:r>
      <w:r>
        <w:fldChar w:fldCharType="separate"/>
      </w:r>
      <w:r>
        <w:rPr>
          <w:rFonts w:hint="eastAsia" w:ascii="宋体" w:hAnsiTheme="minorHAnsi" w:eastAsiaTheme="minorEastAsia" w:cstheme="minorBidi"/>
          <w:szCs w:val="22"/>
        </w:rPr>
        <w:t>5 技术要求</w:t>
      </w:r>
      <w:r>
        <w:tab/>
      </w:r>
      <w:r>
        <w:fldChar w:fldCharType="begin"/>
      </w:r>
      <w:r>
        <w:instrText xml:space="preserve"> PAGEREF _Toc18956 \h </w:instrText>
      </w:r>
      <w:r>
        <w:fldChar w:fldCharType="separate"/>
      </w:r>
      <w:r>
        <w:t>4</w:t>
      </w:r>
      <w:r>
        <w:fldChar w:fldCharType="end"/>
      </w:r>
      <w:r>
        <w:fldChar w:fldCharType="end"/>
      </w:r>
    </w:p>
    <w:p w14:paraId="128BC979">
      <w:pPr>
        <w:pStyle w:val="7"/>
        <w:tabs>
          <w:tab w:val="right" w:leader="dot" w:pos="8305"/>
        </w:tabs>
      </w:pPr>
      <w:r>
        <w:fldChar w:fldCharType="begin"/>
      </w:r>
      <w:r>
        <w:instrText xml:space="preserve"> HYPERLINK \l _Toc27839 </w:instrText>
      </w:r>
      <w:r>
        <w:fldChar w:fldCharType="separate"/>
      </w:r>
      <w:r>
        <w:rPr>
          <w:rFonts w:hint="eastAsia" w:ascii="宋体" w:hAnsiTheme="minorHAnsi" w:eastAsiaTheme="minorEastAsia" w:cstheme="minorBidi"/>
          <w:szCs w:val="22"/>
        </w:rPr>
        <w:t>6 检验方法</w:t>
      </w:r>
      <w:r>
        <w:tab/>
      </w:r>
      <w:r>
        <w:fldChar w:fldCharType="begin"/>
      </w:r>
      <w:r>
        <w:instrText xml:space="preserve"> PAGEREF _Toc27839 \h </w:instrText>
      </w:r>
      <w:r>
        <w:fldChar w:fldCharType="separate"/>
      </w:r>
      <w:r>
        <w:t>5</w:t>
      </w:r>
      <w:r>
        <w:fldChar w:fldCharType="end"/>
      </w:r>
      <w:r>
        <w:fldChar w:fldCharType="end"/>
      </w:r>
    </w:p>
    <w:p w14:paraId="607DB6E5">
      <w:pPr>
        <w:pStyle w:val="7"/>
        <w:tabs>
          <w:tab w:val="right" w:leader="dot" w:pos="8305"/>
        </w:tabs>
      </w:pPr>
      <w:r>
        <w:fldChar w:fldCharType="begin"/>
      </w:r>
      <w:r>
        <w:instrText xml:space="preserve"> HYPERLINK \l _Toc31380 </w:instrText>
      </w:r>
      <w:r>
        <w:fldChar w:fldCharType="separate"/>
      </w:r>
      <w:r>
        <w:rPr>
          <w:rFonts w:hint="eastAsia" w:ascii="宋体" w:hAnsiTheme="minorHAnsi" w:eastAsiaTheme="minorEastAsia" w:cstheme="minorBidi"/>
          <w:szCs w:val="22"/>
        </w:rPr>
        <w:t>7 检验规则</w:t>
      </w:r>
      <w:r>
        <w:tab/>
      </w:r>
      <w:r>
        <w:fldChar w:fldCharType="begin"/>
      </w:r>
      <w:r>
        <w:instrText xml:space="preserve"> PAGEREF _Toc31380 \h </w:instrText>
      </w:r>
      <w:r>
        <w:fldChar w:fldCharType="separate"/>
      </w:r>
      <w:r>
        <w:t>5</w:t>
      </w:r>
      <w:r>
        <w:fldChar w:fldCharType="end"/>
      </w:r>
      <w:r>
        <w:fldChar w:fldCharType="end"/>
      </w:r>
    </w:p>
    <w:p w14:paraId="57D8EDD3">
      <w:pPr>
        <w:pStyle w:val="7"/>
        <w:tabs>
          <w:tab w:val="right" w:leader="dot" w:pos="8305"/>
        </w:tabs>
      </w:pPr>
      <w:r>
        <w:fldChar w:fldCharType="begin"/>
      </w:r>
      <w:r>
        <w:instrText xml:space="preserve"> HYPERLINK \l _Toc4027 </w:instrText>
      </w:r>
      <w:r>
        <w:fldChar w:fldCharType="separate"/>
      </w:r>
      <w:r>
        <w:rPr>
          <w:rFonts w:hint="eastAsia"/>
        </w:rPr>
        <w:t>8　标志、包装、运输、储存和保质期</w:t>
      </w:r>
      <w:r>
        <w:tab/>
      </w:r>
      <w:r>
        <w:fldChar w:fldCharType="begin"/>
      </w:r>
      <w:r>
        <w:instrText xml:space="preserve"> PAGEREF _Toc4027 \h </w:instrText>
      </w:r>
      <w:r>
        <w:fldChar w:fldCharType="separate"/>
      </w:r>
      <w:r>
        <w:t>6</w:t>
      </w:r>
      <w:r>
        <w:fldChar w:fldCharType="end"/>
      </w:r>
      <w:r>
        <w:fldChar w:fldCharType="end"/>
      </w:r>
    </w:p>
    <w:p w14:paraId="079BF340">
      <w:pPr>
        <w:pStyle w:val="7"/>
        <w:tabs>
          <w:tab w:val="right" w:leader="dot" w:pos="9344"/>
        </w:tabs>
        <w:rPr>
          <w:rFonts w:hint="eastAsia" w:ascii="黑体" w:hAnsi="黑体" w:eastAsia="黑体" w:cs="黑体"/>
          <w:sz w:val="32"/>
          <w:szCs w:val="32"/>
        </w:rPr>
      </w:pPr>
      <w:r>
        <w:fldChar w:fldCharType="end"/>
      </w:r>
    </w:p>
    <w:p w14:paraId="04CF8883">
      <w:pPr>
        <w:spacing w:before="320" w:after="120" w:line="360" w:lineRule="auto"/>
        <w:jc w:val="center"/>
        <w:outlineLvl w:val="1"/>
        <w:rPr>
          <w:rFonts w:hint="eastAsia" w:ascii="黑体" w:hAnsi="黑体" w:eastAsia="黑体" w:cs="黑体"/>
          <w:sz w:val="32"/>
          <w:szCs w:val="32"/>
        </w:rPr>
      </w:pPr>
    </w:p>
    <w:p w14:paraId="28B4CE27">
      <w:pPr>
        <w:spacing w:before="320" w:after="120" w:line="360" w:lineRule="auto"/>
        <w:jc w:val="center"/>
        <w:outlineLvl w:val="1"/>
        <w:rPr>
          <w:rFonts w:hint="eastAsia" w:ascii="黑体" w:hAnsi="黑体" w:eastAsia="黑体" w:cs="黑体"/>
          <w:sz w:val="32"/>
          <w:szCs w:val="32"/>
        </w:rPr>
      </w:pPr>
    </w:p>
    <w:p w14:paraId="3B55695D">
      <w:pPr>
        <w:spacing w:before="320" w:after="120" w:line="360" w:lineRule="auto"/>
        <w:jc w:val="center"/>
        <w:outlineLvl w:val="1"/>
        <w:rPr>
          <w:rFonts w:hint="eastAsia" w:ascii="黑体" w:hAnsi="黑体" w:eastAsia="黑体" w:cs="黑体"/>
          <w:sz w:val="32"/>
          <w:szCs w:val="32"/>
        </w:rPr>
      </w:pPr>
    </w:p>
    <w:p w14:paraId="56B7DB4B">
      <w:pPr>
        <w:spacing w:before="320" w:after="120" w:line="360" w:lineRule="auto"/>
        <w:jc w:val="center"/>
        <w:outlineLvl w:val="1"/>
        <w:rPr>
          <w:rFonts w:hint="eastAsia" w:ascii="黑体" w:hAnsi="黑体" w:eastAsia="黑体" w:cs="黑体"/>
          <w:sz w:val="32"/>
          <w:szCs w:val="32"/>
        </w:rPr>
      </w:pPr>
    </w:p>
    <w:p w14:paraId="6664A329">
      <w:pPr>
        <w:spacing w:before="320" w:after="120" w:line="360" w:lineRule="auto"/>
        <w:jc w:val="center"/>
        <w:outlineLvl w:val="1"/>
        <w:rPr>
          <w:rFonts w:hint="eastAsia" w:ascii="黑体" w:hAnsi="黑体" w:eastAsia="黑体" w:cs="黑体"/>
          <w:sz w:val="32"/>
          <w:szCs w:val="32"/>
        </w:rPr>
      </w:pPr>
    </w:p>
    <w:p w14:paraId="3DD450B5">
      <w:pPr>
        <w:spacing w:before="320" w:after="120" w:line="360" w:lineRule="auto"/>
        <w:jc w:val="center"/>
        <w:outlineLvl w:val="1"/>
        <w:rPr>
          <w:rFonts w:hint="eastAsia" w:ascii="黑体" w:hAnsi="黑体" w:eastAsia="黑体" w:cs="黑体"/>
          <w:sz w:val="32"/>
          <w:szCs w:val="32"/>
        </w:rPr>
      </w:pPr>
    </w:p>
    <w:p w14:paraId="1529106A">
      <w:pPr>
        <w:spacing w:before="320" w:after="120" w:line="360" w:lineRule="auto"/>
        <w:jc w:val="center"/>
        <w:outlineLvl w:val="1"/>
        <w:rPr>
          <w:rFonts w:hint="eastAsia" w:ascii="黑体" w:hAnsi="黑体" w:eastAsia="黑体" w:cs="黑体"/>
          <w:sz w:val="32"/>
          <w:szCs w:val="32"/>
        </w:rPr>
      </w:pPr>
    </w:p>
    <w:p w14:paraId="6367721F">
      <w:pPr>
        <w:spacing w:before="320" w:after="120" w:line="360" w:lineRule="auto"/>
        <w:jc w:val="center"/>
        <w:outlineLvl w:val="1"/>
        <w:rPr>
          <w:rFonts w:hint="eastAsia" w:ascii="黑体" w:hAnsi="黑体" w:eastAsia="黑体" w:cs="黑体"/>
          <w:sz w:val="32"/>
          <w:szCs w:val="32"/>
        </w:rPr>
      </w:pPr>
    </w:p>
    <w:p w14:paraId="1291F145">
      <w:pPr>
        <w:spacing w:before="320" w:after="120" w:line="360" w:lineRule="auto"/>
        <w:jc w:val="center"/>
        <w:outlineLvl w:val="1"/>
        <w:rPr>
          <w:rFonts w:hint="eastAsia" w:ascii="黑体" w:hAnsi="黑体" w:eastAsia="黑体" w:cs="黑体"/>
          <w:sz w:val="32"/>
          <w:szCs w:val="32"/>
        </w:rPr>
      </w:pPr>
    </w:p>
    <w:p w14:paraId="03E1AE06">
      <w:pPr>
        <w:spacing w:before="320" w:after="120" w:line="360" w:lineRule="auto"/>
        <w:jc w:val="center"/>
        <w:outlineLvl w:val="1"/>
        <w:rPr>
          <w:rFonts w:hint="eastAsia" w:ascii="黑体" w:hAnsi="黑体" w:eastAsia="黑体" w:cs="黑体"/>
          <w:sz w:val="32"/>
          <w:szCs w:val="32"/>
        </w:rPr>
      </w:pPr>
    </w:p>
    <w:p w14:paraId="03DDDA60">
      <w:pPr>
        <w:pStyle w:val="19"/>
        <w:numPr>
          <w:ilvl w:val="1"/>
          <w:numId w:val="0"/>
        </w:numPr>
        <w:spacing w:before="240" w:after="240"/>
        <w:ind w:firstLine="3520" w:firstLineChars="1100"/>
        <w:rPr>
          <w:rFonts w:hint="eastAsia" w:ascii="黑体" w:hAnsi="Times New Roman" w:eastAsia="黑体" w:cs="Times New Roman"/>
          <w:sz w:val="32"/>
          <w:szCs w:val="28"/>
        </w:rPr>
      </w:pPr>
      <w:bookmarkStart w:id="0" w:name="_Toc9314"/>
      <w:r>
        <w:rPr>
          <w:rFonts w:hint="eastAsia" w:ascii="黑体" w:hAnsi="Times New Roman" w:eastAsia="黑体" w:cs="Times New Roman"/>
          <w:sz w:val="32"/>
          <w:szCs w:val="28"/>
        </w:rPr>
        <w:t>前</w:t>
      </w:r>
      <w:r>
        <w:rPr>
          <w:rFonts w:hint="eastAsia" w:ascii="黑体" w:hAnsi="Times New Roman" w:eastAsia="黑体" w:cs="Times New Roman"/>
          <w:sz w:val="32"/>
          <w:szCs w:val="28"/>
        </w:rPr>
        <w:tab/>
      </w:r>
      <w:r>
        <w:rPr>
          <w:rFonts w:hint="eastAsia" w:ascii="黑体" w:hAnsi="Times New Roman" w:eastAsia="黑体" w:cs="Times New Roman"/>
          <w:sz w:val="32"/>
          <w:szCs w:val="28"/>
        </w:rPr>
        <w:tab/>
      </w:r>
      <w:r>
        <w:rPr>
          <w:rFonts w:hint="eastAsia" w:ascii="黑体" w:hAnsi="Times New Roman" w:eastAsia="黑体" w:cs="Times New Roman"/>
          <w:sz w:val="32"/>
          <w:szCs w:val="28"/>
        </w:rPr>
        <w:t>言</w:t>
      </w:r>
      <w:bookmarkEnd w:id="0"/>
    </w:p>
    <w:p w14:paraId="710F3F35">
      <w:pPr>
        <w:pStyle w:val="14"/>
        <w:spacing w:line="360" w:lineRule="auto"/>
        <w:ind w:firstLine="420"/>
      </w:pPr>
      <w:r>
        <w:rPr>
          <w:rFonts w:hint="eastAsia"/>
        </w:rPr>
        <w:t>本文件按照GB/T 1.1—2020《标准化工作导则  第1部分：标准化文件的结构和起草规则》的规定起草。</w:t>
      </w:r>
    </w:p>
    <w:p w14:paraId="70F8C624">
      <w:pPr>
        <w:pStyle w:val="14"/>
        <w:spacing w:line="360" w:lineRule="auto"/>
        <w:ind w:firstLine="420"/>
      </w:pPr>
      <w:r>
        <w:rPr>
          <w:rFonts w:hint="eastAsia"/>
        </w:rPr>
        <w:t>本文件由中国香料香精化妆品工业协会提出及归口。</w:t>
      </w:r>
    </w:p>
    <w:p w14:paraId="12D656E1">
      <w:pPr>
        <w:pStyle w:val="14"/>
        <w:spacing w:line="360" w:lineRule="auto"/>
        <w:ind w:firstLine="420"/>
      </w:pPr>
      <w:r>
        <w:rPr>
          <w:rFonts w:hint="eastAsia"/>
        </w:rPr>
        <w:t>本文件起草单位：长沙合健生物科技有限公司、长沙达意得生物科技有限公司、中南林业科技大学、长沙林萃生物科技有限公司、水羊化妆品制造有限公司、深圳市护家科技有限公司。</w:t>
      </w:r>
    </w:p>
    <w:p w14:paraId="43CFBCB2">
      <w:pPr>
        <w:pStyle w:val="14"/>
        <w:spacing w:line="360" w:lineRule="auto"/>
        <w:ind w:firstLine="420"/>
      </w:pPr>
      <w:r>
        <w:rPr>
          <w:rFonts w:hint="eastAsia"/>
        </w:rPr>
        <w:t>本文件主要起草人员：金元、向蓉、易霞萍、张胜、陈玉秀、张廷志、舒鹏。</w:t>
      </w:r>
    </w:p>
    <w:p w14:paraId="1386D308">
      <w:pPr>
        <w:pStyle w:val="14"/>
        <w:spacing w:line="360" w:lineRule="auto"/>
        <w:ind w:firstLine="420"/>
      </w:pPr>
      <w:r>
        <w:rPr>
          <w:rFonts w:hint="eastAsia"/>
        </w:rPr>
        <w:t>本文件为首次发布。</w:t>
      </w:r>
    </w:p>
    <w:p w14:paraId="365A8FA1">
      <w:pPr>
        <w:pStyle w:val="14"/>
        <w:spacing w:line="360" w:lineRule="auto"/>
        <w:ind w:firstLine="420"/>
      </w:pPr>
      <w:r>
        <w:rPr>
          <w:rFonts w:hint="eastAsia"/>
        </w:rPr>
        <w:t>请注意本文件的某些内容可能涉及专利。本文件的发布机构不承担识别专利的责任。</w:t>
      </w:r>
    </w:p>
    <w:p w14:paraId="4B44F665">
      <w:pPr>
        <w:rPr>
          <w:rFonts w:hint="eastAsia" w:ascii="黑体" w:hAnsi="黑体" w:eastAsia="黑体" w:cs="黑体"/>
        </w:rPr>
      </w:pPr>
    </w:p>
    <w:p w14:paraId="2FAD518A">
      <w:pPr>
        <w:spacing w:line="360" w:lineRule="auto"/>
        <w:rPr>
          <w:rFonts w:hint="eastAsia" w:ascii="黑体" w:hAnsi="黑体" w:eastAsia="黑体" w:cs="黑体"/>
        </w:rPr>
      </w:pPr>
    </w:p>
    <w:p w14:paraId="271DF499">
      <w:pPr>
        <w:spacing w:before="320" w:after="120" w:line="288" w:lineRule="auto"/>
        <w:jc w:val="left"/>
        <w:outlineLvl w:val="1"/>
        <w:rPr>
          <w:rFonts w:hint="eastAsia" w:ascii="黑体" w:hAnsi="黑体" w:eastAsia="黑体" w:cs="黑体"/>
          <w:b/>
          <w:sz w:val="32"/>
        </w:rPr>
      </w:pPr>
    </w:p>
    <w:p w14:paraId="433D66C7">
      <w:pPr>
        <w:spacing w:before="320" w:after="120" w:line="288" w:lineRule="auto"/>
        <w:jc w:val="left"/>
        <w:outlineLvl w:val="1"/>
        <w:rPr>
          <w:rFonts w:hint="eastAsia" w:ascii="黑体" w:hAnsi="黑体" w:eastAsia="黑体" w:cs="黑体"/>
          <w:b/>
          <w:sz w:val="32"/>
        </w:rPr>
      </w:pPr>
    </w:p>
    <w:p w14:paraId="259CA7ED">
      <w:pPr>
        <w:spacing w:before="320" w:after="120" w:line="288" w:lineRule="auto"/>
        <w:jc w:val="left"/>
        <w:outlineLvl w:val="1"/>
        <w:rPr>
          <w:rFonts w:hint="eastAsia" w:ascii="黑体" w:hAnsi="黑体" w:eastAsia="黑体" w:cs="黑体"/>
          <w:b/>
          <w:sz w:val="32"/>
        </w:rPr>
      </w:pPr>
    </w:p>
    <w:p w14:paraId="05E2FB74">
      <w:pPr>
        <w:spacing w:before="320" w:after="120" w:line="288" w:lineRule="auto"/>
        <w:jc w:val="left"/>
        <w:outlineLvl w:val="1"/>
        <w:rPr>
          <w:rFonts w:hint="eastAsia" w:ascii="黑体" w:hAnsi="黑体" w:eastAsia="黑体" w:cs="黑体"/>
          <w:b/>
          <w:sz w:val="32"/>
        </w:rPr>
      </w:pPr>
    </w:p>
    <w:p w14:paraId="6FD54823">
      <w:pPr>
        <w:spacing w:before="320" w:after="120" w:line="288" w:lineRule="auto"/>
        <w:jc w:val="left"/>
        <w:outlineLvl w:val="1"/>
        <w:rPr>
          <w:rFonts w:hint="eastAsia" w:ascii="黑体" w:hAnsi="黑体" w:eastAsia="黑体" w:cs="黑体"/>
          <w:b/>
          <w:sz w:val="32"/>
        </w:rPr>
      </w:pPr>
    </w:p>
    <w:p w14:paraId="643D4CFD">
      <w:pPr>
        <w:spacing w:before="320" w:after="120" w:line="288" w:lineRule="auto"/>
        <w:jc w:val="left"/>
        <w:outlineLvl w:val="1"/>
        <w:rPr>
          <w:rFonts w:hint="eastAsia" w:ascii="黑体" w:hAnsi="黑体" w:eastAsia="黑体" w:cs="黑体"/>
          <w:b/>
          <w:sz w:val="32"/>
        </w:rPr>
      </w:pPr>
    </w:p>
    <w:p w14:paraId="1EBF83DE">
      <w:pPr>
        <w:spacing w:before="320" w:after="120" w:line="288" w:lineRule="auto"/>
        <w:jc w:val="left"/>
        <w:outlineLvl w:val="1"/>
        <w:rPr>
          <w:rFonts w:hint="eastAsia" w:ascii="黑体" w:hAnsi="黑体" w:eastAsia="黑体" w:cs="黑体"/>
          <w:b/>
          <w:sz w:val="32"/>
        </w:rPr>
      </w:pPr>
    </w:p>
    <w:p w14:paraId="34329C16">
      <w:pPr>
        <w:spacing w:before="320" w:after="120" w:line="288" w:lineRule="auto"/>
        <w:jc w:val="left"/>
        <w:outlineLvl w:val="1"/>
        <w:rPr>
          <w:rFonts w:hint="eastAsia" w:ascii="黑体" w:hAnsi="黑体" w:eastAsia="黑体" w:cs="黑体"/>
          <w:b/>
          <w:sz w:val="32"/>
        </w:rPr>
      </w:pPr>
    </w:p>
    <w:p w14:paraId="149AD9ED">
      <w:pPr>
        <w:spacing w:before="320" w:after="120" w:line="288" w:lineRule="auto"/>
        <w:jc w:val="left"/>
        <w:outlineLvl w:val="1"/>
        <w:rPr>
          <w:rFonts w:hint="eastAsia" w:ascii="黑体" w:hAnsi="黑体" w:eastAsia="黑体" w:cs="黑体"/>
          <w:b/>
          <w:sz w:val="32"/>
        </w:rPr>
      </w:pPr>
    </w:p>
    <w:p w14:paraId="13A71C16">
      <w:pPr>
        <w:spacing w:before="320" w:after="120" w:line="288" w:lineRule="auto"/>
        <w:jc w:val="left"/>
        <w:outlineLvl w:val="1"/>
        <w:rPr>
          <w:rFonts w:hint="eastAsia" w:ascii="黑体" w:hAnsi="黑体" w:eastAsia="黑体" w:cs="黑体"/>
          <w:b/>
          <w:sz w:val="32"/>
        </w:rPr>
      </w:pPr>
    </w:p>
    <w:p w14:paraId="0CED3A4F">
      <w:pPr>
        <w:pStyle w:val="15"/>
        <w:rPr>
          <w:rFonts w:hint="eastAsia" w:hAnsi="黑体" w:cs="黑体"/>
        </w:rPr>
        <w:sectPr>
          <w:footerReference r:id="rId7" w:type="first"/>
          <w:footerReference r:id="rId6" w:type="default"/>
          <w:pgSz w:w="11905" w:h="16840" w:orient="landscape"/>
          <w:pgMar w:top="1440" w:right="1800" w:bottom="1440" w:left="1800" w:header="720" w:footer="720" w:gutter="0"/>
          <w:pgNumType w:fmt="upperRoman" w:start="1"/>
          <w:cols w:space="720" w:num="1"/>
        </w:sectPr>
      </w:pPr>
    </w:p>
    <w:p w14:paraId="03E292AA">
      <w:pPr>
        <w:jc w:val="center"/>
        <w:rPr>
          <w:rFonts w:hint="eastAsia" w:ascii="黑体" w:hAnsi="黑体" w:eastAsia="黑体" w:cs="黑体"/>
        </w:rPr>
      </w:pPr>
      <w:r>
        <w:rPr>
          <w:rFonts w:hint="eastAsia" w:ascii="黑体" w:hAnsi="黑体" w:eastAsia="黑体" w:cs="黑体"/>
          <w:sz w:val="32"/>
          <w:szCs w:val="32"/>
        </w:rPr>
        <w:t>化妆品用原料 根皮素</w:t>
      </w:r>
    </w:p>
    <w:p w14:paraId="26212C72">
      <w:pPr>
        <w:pStyle w:val="19"/>
        <w:numPr>
          <w:ilvl w:val="1"/>
          <w:numId w:val="0"/>
        </w:numPr>
        <w:spacing w:before="240" w:after="240"/>
        <w:rPr>
          <w:rFonts w:hint="eastAsia" w:ascii="黑体" w:hAnsi="Times New Roman" w:eastAsia="黑体" w:cs="Times New Roman"/>
          <w:bCs w:val="0"/>
          <w:szCs w:val="20"/>
        </w:rPr>
      </w:pPr>
      <w:bookmarkStart w:id="1" w:name="_Toc19811"/>
      <w:r>
        <w:rPr>
          <w:rFonts w:hint="eastAsia" w:ascii="黑体" w:hAnsi="Times New Roman" w:eastAsia="黑体" w:cs="Times New Roman"/>
          <w:bCs w:val="0"/>
          <w:szCs w:val="20"/>
        </w:rPr>
        <w:t>1 范围</w:t>
      </w:r>
      <w:bookmarkEnd w:id="1"/>
    </w:p>
    <w:p w14:paraId="61B2DD17">
      <w:pPr>
        <w:spacing w:before="120" w:after="120" w:line="360" w:lineRule="auto"/>
        <w:ind w:firstLine="420"/>
        <w:jc w:val="left"/>
        <w:rPr>
          <w:rFonts w:hint="eastAsia" w:ascii="宋体" w:hAnsi="宋体" w:eastAsia="宋体" w:cs="宋体"/>
          <w:szCs w:val="21"/>
        </w:rPr>
      </w:pPr>
      <w:r>
        <w:rPr>
          <w:rFonts w:hint="eastAsia" w:ascii="宋体" w:hAnsi="宋体" w:eastAsia="宋体" w:cs="宋体"/>
          <w:szCs w:val="21"/>
        </w:rPr>
        <w:t>本文件规定了化妆品用原料根皮素的技术要求、检验方法、检验规则、标签、包装、运输、贮存和保质期。</w:t>
      </w:r>
    </w:p>
    <w:p w14:paraId="25D8A6BB">
      <w:pPr>
        <w:spacing w:before="120" w:after="120" w:line="360" w:lineRule="auto"/>
        <w:ind w:firstLine="420"/>
        <w:jc w:val="left"/>
        <w:rPr>
          <w:rFonts w:hint="eastAsia" w:ascii="宋体" w:hAnsi="宋体" w:eastAsia="宋体" w:cs="宋体"/>
          <w:szCs w:val="21"/>
        </w:rPr>
      </w:pPr>
      <w:r>
        <w:rPr>
          <w:rFonts w:hint="eastAsia" w:ascii="宋体" w:hAnsi="宋体" w:eastAsia="宋体" w:cs="宋体"/>
          <w:szCs w:val="21"/>
        </w:rPr>
        <w:t>本文件适用于以蔷薇科苹果属苹果（Malus pumila Mill.）果皮干燥后提取获得的根皮苷为原料，经转化而成的粉末状化妆品用原料根皮素。</w:t>
      </w:r>
    </w:p>
    <w:p w14:paraId="03811294">
      <w:pPr>
        <w:pStyle w:val="19"/>
        <w:numPr>
          <w:ilvl w:val="1"/>
          <w:numId w:val="0"/>
        </w:numPr>
        <w:spacing w:before="240" w:after="240"/>
        <w:rPr>
          <w:rFonts w:hint="eastAsia" w:ascii="黑体" w:hAnsi="Times New Roman" w:eastAsia="黑体" w:cs="Times New Roman"/>
          <w:szCs w:val="20"/>
        </w:rPr>
      </w:pPr>
      <w:bookmarkStart w:id="2" w:name="_Toc6103"/>
      <w:r>
        <w:rPr>
          <w:rFonts w:hint="eastAsia" w:ascii="黑体" w:hAnsi="Times New Roman" w:eastAsia="黑体" w:cs="Times New Roman"/>
          <w:szCs w:val="20"/>
        </w:rPr>
        <w:t>2 规范性引用文件</w:t>
      </w:r>
      <w:bookmarkEnd w:id="2"/>
    </w:p>
    <w:p w14:paraId="09B2658D">
      <w:pPr>
        <w:spacing w:before="120" w:after="120" w:line="360" w:lineRule="auto"/>
        <w:ind w:firstLine="420"/>
        <w:rPr>
          <w:rFonts w:hint="eastAsia" w:ascii="宋体" w:hAnsi="宋体" w:eastAsia="宋体" w:cs="宋体"/>
          <w:szCs w:val="21"/>
        </w:rPr>
      </w:pPr>
      <w:r>
        <w:rPr>
          <w:rFonts w:hint="eastAsia" w:ascii="宋体" w:hAnsi="宋体" w:eastAsia="宋体"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BEE8507">
      <w:pPr>
        <w:widowControl/>
        <w:spacing w:line="360" w:lineRule="auto"/>
        <w:ind w:firstLine="420"/>
        <w:jc w:val="left"/>
        <w:rPr>
          <w:rFonts w:ascii="宋体" w:hAnsi="宋体" w:eastAsia="宋体" w:cs="宋体"/>
          <w:kern w:val="0"/>
          <w:szCs w:val="21"/>
          <w:lang w:bidi="ar"/>
        </w:rPr>
      </w:pPr>
      <w:r>
        <w:rPr>
          <w:rFonts w:hint="eastAsia" w:ascii="宋体" w:hAnsi="宋体" w:eastAsia="宋体" w:cs="宋体"/>
          <w:kern w:val="0"/>
          <w:szCs w:val="21"/>
          <w:lang w:bidi="ar"/>
        </w:rPr>
        <w:t>GB/T 191 包装储运图示标志</w:t>
      </w:r>
    </w:p>
    <w:p w14:paraId="22B7D3CA">
      <w:pPr>
        <w:widowControl/>
        <w:spacing w:line="360" w:lineRule="auto"/>
        <w:ind w:firstLine="420"/>
        <w:jc w:val="left"/>
        <w:rPr>
          <w:rFonts w:hint="eastAsia" w:ascii="宋体" w:hAnsi="宋体" w:eastAsia="宋体" w:cs="宋体"/>
          <w:kern w:val="0"/>
          <w:szCs w:val="21"/>
          <w:lang w:bidi="ar"/>
        </w:rPr>
      </w:pPr>
      <w:r>
        <w:rPr>
          <w:rFonts w:ascii="宋体" w:hAnsi="宋体" w:eastAsia="宋体" w:cs="宋体"/>
          <w:kern w:val="0"/>
          <w:szCs w:val="21"/>
          <w:lang w:bidi="ar"/>
        </w:rPr>
        <w:t>GB 1886.261</w:t>
      </w:r>
      <w:r>
        <w:rPr>
          <w:rFonts w:hint="eastAsia" w:ascii="宋体" w:hAnsi="宋体" w:eastAsia="宋体" w:cs="宋体"/>
          <w:kern w:val="0"/>
          <w:szCs w:val="21"/>
          <w:lang w:bidi="ar"/>
        </w:rPr>
        <w:t xml:space="preserve"> 食品安全国家标准 食品添加剂 根皮素</w:t>
      </w:r>
    </w:p>
    <w:p w14:paraId="287216DD">
      <w:pPr>
        <w:widowControl/>
        <w:spacing w:line="360" w:lineRule="auto"/>
        <w:ind w:firstLine="420"/>
        <w:jc w:val="left"/>
        <w:rPr>
          <w:rFonts w:hint="eastAsia" w:ascii="宋体" w:hAnsi="宋体" w:eastAsia="宋体" w:cs="宋体"/>
          <w:kern w:val="0"/>
          <w:szCs w:val="21"/>
          <w:lang w:bidi="ar"/>
        </w:rPr>
      </w:pPr>
      <w:r>
        <w:rPr>
          <w:rFonts w:hint="eastAsia" w:ascii="宋体" w:hAnsi="宋体" w:eastAsia="宋体" w:cs="宋体"/>
          <w:kern w:val="0"/>
          <w:szCs w:val="21"/>
          <w:lang w:bidi="ar"/>
        </w:rPr>
        <w:t>GB 5009.3 食品安全国家标准 食品中水分的测定</w:t>
      </w:r>
    </w:p>
    <w:p w14:paraId="3BE3F467">
      <w:pPr>
        <w:widowControl/>
        <w:spacing w:line="360" w:lineRule="auto"/>
        <w:ind w:firstLine="420"/>
        <w:jc w:val="left"/>
        <w:rPr>
          <w:rFonts w:hint="eastAsia" w:ascii="宋体" w:hAnsi="宋体" w:eastAsia="宋体" w:cs="宋体"/>
          <w:kern w:val="0"/>
          <w:szCs w:val="21"/>
          <w:lang w:bidi="ar"/>
        </w:rPr>
      </w:pPr>
      <w:r>
        <w:rPr>
          <w:rFonts w:hint="eastAsia" w:ascii="宋体" w:hAnsi="宋体" w:eastAsia="宋体" w:cs="宋体"/>
          <w:kern w:val="0"/>
          <w:szCs w:val="21"/>
          <w:lang w:bidi="ar"/>
        </w:rPr>
        <w:t>GB 5009.4 食品安全国家标准 食品中灰分的测定</w:t>
      </w:r>
    </w:p>
    <w:p w14:paraId="3323DE46">
      <w:pPr>
        <w:widowControl/>
        <w:spacing w:line="360" w:lineRule="auto"/>
        <w:ind w:firstLine="420"/>
        <w:jc w:val="left"/>
        <w:rPr>
          <w:rFonts w:hint="eastAsia" w:ascii="宋体" w:hAnsi="宋体" w:eastAsia="宋体" w:cs="宋体"/>
          <w:kern w:val="0"/>
          <w:szCs w:val="21"/>
          <w:lang w:bidi="ar"/>
        </w:rPr>
      </w:pPr>
      <w:r>
        <w:rPr>
          <w:rFonts w:hint="eastAsia" w:ascii="宋体" w:hAnsi="宋体" w:eastAsia="宋体" w:cs="宋体"/>
          <w:kern w:val="0"/>
          <w:szCs w:val="21"/>
          <w:lang w:bidi="ar"/>
        </w:rPr>
        <w:t>GB/T 6682 分析实验室用水规格和试验方法</w:t>
      </w:r>
    </w:p>
    <w:p w14:paraId="0212E885">
      <w:pPr>
        <w:widowControl/>
        <w:spacing w:line="360" w:lineRule="auto"/>
        <w:ind w:firstLine="420"/>
        <w:jc w:val="left"/>
        <w:rPr>
          <w:rFonts w:hint="eastAsia" w:ascii="宋体" w:hAnsi="宋体" w:eastAsia="宋体" w:cs="宋体"/>
          <w:kern w:val="0"/>
          <w:szCs w:val="21"/>
          <w:lang w:bidi="ar"/>
        </w:rPr>
      </w:pPr>
      <w:r>
        <w:rPr>
          <w:rFonts w:hint="eastAsia" w:ascii="宋体" w:hAnsi="宋体" w:eastAsia="宋体" w:cs="宋体"/>
          <w:kern w:val="0"/>
          <w:szCs w:val="21"/>
          <w:lang w:bidi="ar"/>
        </w:rPr>
        <w:t>GB/T 8170 数值修约规则与极限数值的表示和判定</w:t>
      </w:r>
    </w:p>
    <w:p w14:paraId="2A6ED590">
      <w:pPr>
        <w:widowControl/>
        <w:spacing w:line="360" w:lineRule="auto"/>
        <w:ind w:firstLine="420"/>
        <w:jc w:val="left"/>
        <w:rPr>
          <w:rFonts w:hint="eastAsia" w:ascii="宋体" w:hAnsi="宋体" w:eastAsia="宋体" w:cs="宋体"/>
          <w:kern w:val="0"/>
          <w:szCs w:val="21"/>
          <w:lang w:bidi="ar"/>
        </w:rPr>
      </w:pPr>
      <w:r>
        <w:rPr>
          <w:rFonts w:hint="eastAsia" w:ascii="宋体" w:hAnsi="宋体" w:eastAsia="宋体" w:cs="宋体"/>
          <w:kern w:val="0"/>
          <w:szCs w:val="21"/>
          <w:lang w:bidi="ar"/>
        </w:rPr>
        <w:t>GB/T 13531.6 化妆品通用检验方法 颗粒度(细度)的测定</w:t>
      </w:r>
    </w:p>
    <w:p w14:paraId="7903C556">
      <w:pPr>
        <w:widowControl/>
        <w:spacing w:line="360" w:lineRule="auto"/>
        <w:ind w:firstLine="420"/>
        <w:jc w:val="left"/>
        <w:rPr>
          <w:rFonts w:hint="eastAsia" w:ascii="宋体" w:hAnsi="宋体" w:eastAsia="宋体" w:cs="宋体"/>
          <w:kern w:val="0"/>
          <w:szCs w:val="21"/>
          <w:lang w:bidi="ar"/>
        </w:rPr>
      </w:pPr>
      <w:r>
        <w:rPr>
          <w:rFonts w:hint="eastAsia" w:ascii="宋体" w:hAnsi="宋体" w:eastAsia="宋体" w:cs="宋体"/>
          <w:kern w:val="0"/>
          <w:szCs w:val="21"/>
          <w:lang w:bidi="ar"/>
        </w:rPr>
        <w:t>GB/T 27579 精油 高效液相色谱分析 通用法</w:t>
      </w:r>
    </w:p>
    <w:p w14:paraId="20B664C9">
      <w:pPr>
        <w:widowControl/>
        <w:spacing w:line="360" w:lineRule="auto"/>
        <w:ind w:firstLine="420"/>
        <w:jc w:val="left"/>
        <w:rPr>
          <w:rFonts w:hint="eastAsia" w:ascii="黑体" w:hAnsi="黑体" w:eastAsia="黑体" w:cs="黑体"/>
          <w:szCs w:val="21"/>
        </w:rPr>
      </w:pPr>
      <w:r>
        <w:rPr>
          <w:rFonts w:hint="eastAsia" w:ascii="宋体" w:hAnsi="宋体" w:eastAsia="宋体" w:cs="宋体"/>
          <w:kern w:val="0"/>
          <w:szCs w:val="21"/>
          <w:lang w:bidi="ar"/>
        </w:rPr>
        <w:t>GB/T 37625 化妆品检验规则</w:t>
      </w:r>
    </w:p>
    <w:p w14:paraId="10454645">
      <w:pPr>
        <w:pStyle w:val="19"/>
        <w:numPr>
          <w:ilvl w:val="1"/>
          <w:numId w:val="0"/>
        </w:numPr>
        <w:spacing w:before="240" w:after="240"/>
        <w:rPr>
          <w:rFonts w:hint="eastAsia" w:ascii="黑体" w:hAnsi="Times New Roman" w:eastAsia="黑体" w:cs="Times New Roman"/>
          <w:szCs w:val="20"/>
        </w:rPr>
      </w:pPr>
      <w:bookmarkStart w:id="3" w:name="_Toc26296"/>
      <w:r>
        <w:rPr>
          <w:rFonts w:hint="eastAsia" w:ascii="黑体" w:hAnsi="Times New Roman" w:eastAsia="黑体" w:cs="Times New Roman"/>
          <w:szCs w:val="20"/>
        </w:rPr>
        <w:t>3 术语和定义</w:t>
      </w:r>
      <w:bookmarkEnd w:id="3"/>
    </w:p>
    <w:p w14:paraId="4CA570F9">
      <w:pPr>
        <w:pStyle w:val="12"/>
        <w:ind w:firstLine="420"/>
        <w:rPr>
          <w:rFonts w:hint="eastAsia" w:ascii="宋体" w:hAnsi="宋体" w:cs="宋体"/>
          <w:kern w:val="0"/>
          <w:sz w:val="21"/>
          <w:szCs w:val="21"/>
          <w:lang w:val="en-US" w:bidi="ar"/>
        </w:rPr>
      </w:pPr>
      <w:r>
        <w:rPr>
          <w:rFonts w:hint="eastAsia" w:ascii="宋体" w:hAnsi="宋体" w:cs="宋体"/>
          <w:kern w:val="0"/>
          <w:sz w:val="21"/>
          <w:szCs w:val="21"/>
          <w:lang w:val="en-US" w:bidi="ar"/>
        </w:rPr>
        <w:t>本文件没有需要界定的术语和定义。</w:t>
      </w:r>
    </w:p>
    <w:p w14:paraId="0856C3EB">
      <w:pPr>
        <w:pStyle w:val="19"/>
        <w:numPr>
          <w:ilvl w:val="1"/>
          <w:numId w:val="0"/>
        </w:numPr>
        <w:spacing w:before="240" w:after="240"/>
        <w:rPr>
          <w:rFonts w:hint="eastAsia" w:ascii="黑体" w:hAnsi="Times New Roman" w:eastAsia="黑体" w:cs="Times New Roman"/>
          <w:szCs w:val="20"/>
        </w:rPr>
      </w:pPr>
      <w:bookmarkStart w:id="4" w:name="_Toc23758"/>
      <w:r>
        <w:rPr>
          <w:rFonts w:hint="eastAsia" w:ascii="黑体" w:hAnsi="Times New Roman" w:eastAsia="黑体" w:cs="Times New Roman"/>
          <w:szCs w:val="20"/>
        </w:rPr>
        <w:t>4 基本信息</w:t>
      </w:r>
      <w:bookmarkEnd w:id="4"/>
    </w:p>
    <w:p w14:paraId="03A6B470">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化学名称：3-（4-羟基苯基）-1-（2,4,6-三羟基苯基）-丙酮-1</w:t>
      </w:r>
    </w:p>
    <w:p w14:paraId="2D64EAA8">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INCI名称：Phloretin</w:t>
      </w:r>
    </w:p>
    <w:p w14:paraId="138AEAD4">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分子式：C</w:t>
      </w:r>
      <w:r>
        <w:rPr>
          <w:rFonts w:hint="eastAsia" w:ascii="宋体" w:hAnsi="宋体" w:eastAsia="宋体" w:cs="宋体"/>
          <w:szCs w:val="21"/>
          <w:vertAlign w:val="subscript"/>
        </w:rPr>
        <w:t>15</w:t>
      </w:r>
      <w:r>
        <w:rPr>
          <w:rFonts w:hint="eastAsia" w:ascii="宋体" w:hAnsi="宋体" w:eastAsia="宋体" w:cs="宋体"/>
          <w:szCs w:val="21"/>
        </w:rPr>
        <w:t>H</w:t>
      </w:r>
      <w:r>
        <w:rPr>
          <w:rFonts w:hint="eastAsia" w:ascii="宋体" w:hAnsi="宋体" w:eastAsia="宋体" w:cs="宋体"/>
          <w:szCs w:val="21"/>
          <w:vertAlign w:val="subscript"/>
        </w:rPr>
        <w:t>14</w:t>
      </w:r>
      <w:r>
        <w:rPr>
          <w:rFonts w:hint="eastAsia" w:ascii="宋体" w:hAnsi="宋体" w:eastAsia="宋体" w:cs="宋体"/>
          <w:szCs w:val="21"/>
        </w:rPr>
        <w:t>O</w:t>
      </w:r>
      <w:r>
        <w:rPr>
          <w:rFonts w:hint="eastAsia" w:ascii="宋体" w:hAnsi="宋体" w:eastAsia="宋体" w:cs="宋体"/>
          <w:szCs w:val="21"/>
          <w:vertAlign w:val="subscript"/>
        </w:rPr>
        <w:t>5</w:t>
      </w:r>
    </w:p>
    <w:p w14:paraId="535F788B">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CAS号：60-82-2</w:t>
      </w:r>
    </w:p>
    <w:p w14:paraId="10A048D0">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相对分子质量：274.27</w:t>
      </w:r>
    </w:p>
    <w:p w14:paraId="7015FEA5">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结构式：</w:t>
      </w:r>
    </w:p>
    <w:p w14:paraId="16D6EACB">
      <w:pPr>
        <w:spacing w:before="120" w:after="120" w:line="360" w:lineRule="auto"/>
        <w:ind w:firstLine="480"/>
        <w:jc w:val="center"/>
        <w:rPr>
          <w:rFonts w:hint="eastAsia" w:ascii="宋体" w:hAnsi="宋体" w:eastAsia="宋体" w:cs="宋体"/>
          <w:szCs w:val="21"/>
        </w:rPr>
      </w:pPr>
      <w:r>
        <w:drawing>
          <wp:inline distT="0" distB="0" distL="114300" distR="114300">
            <wp:extent cx="1233170" cy="1338580"/>
            <wp:effectExtent l="0" t="0" r="5080" b="13970"/>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10"/>
                    <a:stretch>
                      <a:fillRect/>
                    </a:stretch>
                  </pic:blipFill>
                  <pic:spPr>
                    <a:xfrm>
                      <a:off x="0" y="0"/>
                      <a:ext cx="1233170" cy="1338580"/>
                    </a:xfrm>
                    <a:prstGeom prst="rect">
                      <a:avLst/>
                    </a:prstGeom>
                  </pic:spPr>
                </pic:pic>
              </a:graphicData>
            </a:graphic>
          </wp:inline>
        </w:drawing>
      </w:r>
    </w:p>
    <w:p w14:paraId="4DFA221F">
      <w:pPr>
        <w:spacing w:before="120" w:after="120" w:line="360" w:lineRule="auto"/>
        <w:ind w:firstLine="480"/>
        <w:jc w:val="left"/>
        <w:rPr>
          <w:rFonts w:hint="eastAsia" w:ascii="黑体" w:hAnsi="黑体" w:eastAsia="黑体" w:cs="黑体"/>
          <w:szCs w:val="21"/>
        </w:rPr>
      </w:pPr>
    </w:p>
    <w:p w14:paraId="0FFBD7D5">
      <w:pPr>
        <w:pStyle w:val="19"/>
        <w:numPr>
          <w:ilvl w:val="1"/>
          <w:numId w:val="0"/>
        </w:numPr>
        <w:spacing w:before="240" w:after="240"/>
        <w:rPr>
          <w:rFonts w:hint="eastAsia" w:ascii="黑体" w:hAnsi="Times New Roman" w:eastAsia="黑体" w:cs="Times New Roman"/>
          <w:szCs w:val="20"/>
        </w:rPr>
      </w:pPr>
      <w:bookmarkStart w:id="5" w:name="_Toc18956"/>
      <w:r>
        <w:rPr>
          <w:rFonts w:hint="eastAsia" w:ascii="黑体" w:hAnsi="Times New Roman" w:eastAsia="黑体" w:cs="Times New Roman"/>
          <w:szCs w:val="20"/>
        </w:rPr>
        <w:t>5 技术要求</w:t>
      </w:r>
      <w:bookmarkEnd w:id="5"/>
    </w:p>
    <w:p w14:paraId="4B93AE51">
      <w:pPr>
        <w:pStyle w:val="2"/>
        <w:rPr>
          <w:rFonts w:hint="eastAsia" w:ascii="黑体" w:hAnsi="黑体" w:cs="黑体"/>
        </w:rPr>
      </w:pPr>
      <w:r>
        <w:rPr>
          <w:rFonts w:hint="eastAsia" w:ascii="黑体" w:hAnsi="黑体" w:cs="黑体"/>
        </w:rPr>
        <w:t>5.1 感官要求</w:t>
      </w:r>
    </w:p>
    <w:p w14:paraId="7B932C25">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根皮素的感官要求详见表1。</w:t>
      </w:r>
    </w:p>
    <w:p w14:paraId="581175A9">
      <w:pPr>
        <w:widowControl/>
        <w:spacing w:before="120" w:after="120" w:line="288" w:lineRule="auto"/>
        <w:jc w:val="center"/>
        <w:rPr>
          <w:rFonts w:hint="eastAsia" w:ascii="宋体" w:hAnsi="宋体" w:eastAsia="宋体" w:cs="宋体"/>
          <w:szCs w:val="21"/>
        </w:rPr>
      </w:pPr>
      <w:r>
        <w:rPr>
          <w:rFonts w:hint="eastAsia" w:ascii="宋体" w:hAnsi="宋体" w:eastAsia="宋体" w:cs="宋体"/>
          <w:szCs w:val="21"/>
        </w:rPr>
        <w:t>表1 感官要求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7"/>
        <w:gridCol w:w="2044"/>
      </w:tblGrid>
      <w:tr w14:paraId="2038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vAlign w:val="center"/>
          </w:tcPr>
          <w:p w14:paraId="30DBB5BA">
            <w:pPr>
              <w:jc w:val="center"/>
              <w:rPr>
                <w:rFonts w:hint="eastAsia" w:ascii="宋体" w:hAnsi="宋体" w:eastAsia="宋体" w:cs="宋体"/>
                <w:sz w:val="18"/>
                <w:szCs w:val="18"/>
              </w:rPr>
            </w:pPr>
            <w:r>
              <w:rPr>
                <w:rFonts w:hint="eastAsia" w:ascii="宋体" w:hAnsi="宋体" w:eastAsia="宋体" w:cs="宋体"/>
                <w:sz w:val="18"/>
                <w:szCs w:val="18"/>
              </w:rPr>
              <w:t>项目</w:t>
            </w:r>
          </w:p>
        </w:tc>
        <w:tc>
          <w:tcPr>
            <w:tcW w:w="2044" w:type="dxa"/>
            <w:vAlign w:val="center"/>
          </w:tcPr>
          <w:p w14:paraId="77D77888">
            <w:pPr>
              <w:jc w:val="center"/>
              <w:rPr>
                <w:rFonts w:hint="eastAsia" w:ascii="宋体" w:hAnsi="宋体" w:eastAsia="宋体" w:cs="宋体"/>
                <w:sz w:val="18"/>
                <w:szCs w:val="18"/>
              </w:rPr>
            </w:pPr>
            <w:r>
              <w:rPr>
                <w:rFonts w:hint="eastAsia" w:ascii="宋体" w:hAnsi="宋体" w:eastAsia="宋体" w:cs="宋体"/>
                <w:sz w:val="18"/>
                <w:szCs w:val="18"/>
              </w:rPr>
              <w:t>要求</w:t>
            </w:r>
          </w:p>
        </w:tc>
      </w:tr>
      <w:tr w14:paraId="4BB0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vAlign w:val="center"/>
          </w:tcPr>
          <w:p w14:paraId="1FD9D720">
            <w:pPr>
              <w:pStyle w:val="16"/>
              <w:rPr>
                <w:rFonts w:hint="eastAsia" w:hAnsi="宋体" w:cs="宋体"/>
                <w:szCs w:val="18"/>
              </w:rPr>
            </w:pPr>
            <w:r>
              <w:rPr>
                <w:rFonts w:hint="eastAsia"/>
              </w:rPr>
              <w:t>外观</w:t>
            </w:r>
          </w:p>
        </w:tc>
        <w:tc>
          <w:tcPr>
            <w:tcW w:w="2044" w:type="dxa"/>
            <w:vAlign w:val="center"/>
          </w:tcPr>
          <w:p w14:paraId="031EB275">
            <w:pPr>
              <w:pStyle w:val="16"/>
              <w:rPr>
                <w:rFonts w:hint="eastAsia" w:hAnsi="宋体" w:cs="宋体"/>
                <w:szCs w:val="18"/>
              </w:rPr>
            </w:pPr>
            <w:r>
              <w:rPr>
                <w:rFonts w:hint="eastAsia"/>
              </w:rPr>
              <w:t>淡黄色至白色粉末</w:t>
            </w:r>
          </w:p>
        </w:tc>
      </w:tr>
    </w:tbl>
    <w:p w14:paraId="5B6B2BC1">
      <w:pPr>
        <w:pStyle w:val="2"/>
        <w:rPr>
          <w:rFonts w:hint="eastAsia" w:ascii="黑体" w:hAnsi="黑体" w:cs="黑体"/>
        </w:rPr>
      </w:pPr>
    </w:p>
    <w:p w14:paraId="397A7703">
      <w:pPr>
        <w:pStyle w:val="2"/>
        <w:rPr>
          <w:rFonts w:hint="eastAsia" w:ascii="黑体" w:hAnsi="黑体" w:cs="黑体"/>
        </w:rPr>
      </w:pPr>
      <w:r>
        <w:rPr>
          <w:rFonts w:hint="eastAsia" w:ascii="黑体" w:hAnsi="黑体" w:cs="黑体"/>
        </w:rPr>
        <w:t>5.2 理化要求</w:t>
      </w:r>
    </w:p>
    <w:p w14:paraId="2A347726">
      <w:pPr>
        <w:spacing w:before="120" w:after="120" w:line="288" w:lineRule="auto"/>
        <w:ind w:left="453"/>
        <w:jc w:val="left"/>
      </w:pPr>
      <w:r>
        <w:rPr>
          <w:rFonts w:hint="eastAsia" w:ascii="宋体" w:hAnsi="宋体" w:eastAsia="宋体" w:cs="宋体"/>
          <w:szCs w:val="21"/>
        </w:rPr>
        <w:t>根皮素的理化要求详见表2。</w:t>
      </w:r>
    </w:p>
    <w:p w14:paraId="39CBA41A">
      <w:pPr>
        <w:widowControl/>
        <w:spacing w:before="120" w:after="120" w:line="288" w:lineRule="auto"/>
        <w:jc w:val="center"/>
        <w:rPr>
          <w:rFonts w:hint="eastAsia" w:ascii="宋体" w:hAnsi="宋体" w:eastAsia="宋体" w:cs="宋体"/>
          <w:szCs w:val="21"/>
        </w:rPr>
      </w:pPr>
      <w:r>
        <w:rPr>
          <w:rFonts w:hint="eastAsia" w:ascii="宋体" w:hAnsi="宋体" w:eastAsia="宋体" w:cs="宋体"/>
          <w:szCs w:val="21"/>
        </w:rPr>
        <w:t>表2 理化要求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7"/>
        <w:gridCol w:w="2044"/>
      </w:tblGrid>
      <w:tr w14:paraId="2FEB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vAlign w:val="center"/>
          </w:tcPr>
          <w:p w14:paraId="5463553B">
            <w:pPr>
              <w:jc w:val="center"/>
              <w:rPr>
                <w:rFonts w:hint="eastAsia" w:ascii="宋体" w:hAnsi="宋体" w:eastAsia="宋体" w:cs="宋体"/>
                <w:sz w:val="18"/>
                <w:szCs w:val="18"/>
              </w:rPr>
            </w:pPr>
            <w:r>
              <w:rPr>
                <w:rFonts w:hint="eastAsia" w:ascii="宋体" w:hAnsi="宋体" w:eastAsia="宋体" w:cs="宋体"/>
                <w:sz w:val="18"/>
                <w:szCs w:val="18"/>
              </w:rPr>
              <w:t>项目</w:t>
            </w:r>
          </w:p>
        </w:tc>
        <w:tc>
          <w:tcPr>
            <w:tcW w:w="2044" w:type="dxa"/>
            <w:vAlign w:val="center"/>
          </w:tcPr>
          <w:p w14:paraId="01C9A5D5">
            <w:pPr>
              <w:jc w:val="center"/>
              <w:rPr>
                <w:rFonts w:hint="eastAsia" w:ascii="宋体" w:hAnsi="宋体" w:eastAsia="宋体" w:cs="宋体"/>
                <w:sz w:val="18"/>
                <w:szCs w:val="18"/>
              </w:rPr>
            </w:pPr>
            <w:r>
              <w:rPr>
                <w:rFonts w:hint="eastAsia" w:ascii="宋体" w:hAnsi="宋体" w:eastAsia="宋体" w:cs="宋体"/>
                <w:sz w:val="18"/>
                <w:szCs w:val="18"/>
              </w:rPr>
              <w:t>要求</w:t>
            </w:r>
          </w:p>
        </w:tc>
      </w:tr>
      <w:tr w14:paraId="70EC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vAlign w:val="center"/>
          </w:tcPr>
          <w:p w14:paraId="7C1A094C">
            <w:pPr>
              <w:pStyle w:val="16"/>
              <w:rPr>
                <w:rFonts w:hint="eastAsia" w:hAnsi="宋体" w:cs="宋体"/>
                <w:szCs w:val="18"/>
              </w:rPr>
            </w:pPr>
            <w:r>
              <w:rPr>
                <w:rFonts w:hint="eastAsia"/>
              </w:rPr>
              <w:t>水分/%</w:t>
            </w:r>
          </w:p>
        </w:tc>
        <w:tc>
          <w:tcPr>
            <w:tcW w:w="2044" w:type="dxa"/>
            <w:vAlign w:val="center"/>
          </w:tcPr>
          <w:p w14:paraId="0DE3A2E5">
            <w:pPr>
              <w:pStyle w:val="16"/>
              <w:rPr>
                <w:rFonts w:hint="eastAsia" w:hAnsi="宋体" w:cs="宋体"/>
                <w:szCs w:val="18"/>
              </w:rPr>
            </w:pPr>
            <w:r>
              <w:rPr>
                <w:rFonts w:hint="eastAsia"/>
              </w:rPr>
              <w:t>≤5</w:t>
            </w:r>
          </w:p>
        </w:tc>
      </w:tr>
      <w:tr w14:paraId="0680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vAlign w:val="center"/>
          </w:tcPr>
          <w:p w14:paraId="4CAAFAD3">
            <w:pPr>
              <w:pStyle w:val="16"/>
              <w:rPr>
                <w:rFonts w:hint="eastAsia" w:hAnsi="宋体" w:cs="宋体"/>
                <w:szCs w:val="18"/>
              </w:rPr>
            </w:pPr>
            <w:r>
              <w:rPr>
                <w:rFonts w:hint="eastAsia"/>
              </w:rPr>
              <w:t>灰分/%</w:t>
            </w:r>
          </w:p>
        </w:tc>
        <w:tc>
          <w:tcPr>
            <w:tcW w:w="2044" w:type="dxa"/>
            <w:vAlign w:val="center"/>
          </w:tcPr>
          <w:p w14:paraId="566547CB">
            <w:pPr>
              <w:pStyle w:val="16"/>
              <w:rPr>
                <w:rFonts w:hint="eastAsia" w:hAnsi="宋体" w:cs="宋体"/>
                <w:szCs w:val="18"/>
              </w:rPr>
            </w:pPr>
            <w:r>
              <w:rPr>
                <w:rFonts w:hint="eastAsia"/>
              </w:rPr>
              <w:t>≤5</w:t>
            </w:r>
          </w:p>
        </w:tc>
      </w:tr>
      <w:tr w14:paraId="5A20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vAlign w:val="center"/>
          </w:tcPr>
          <w:p w14:paraId="7B762BBD">
            <w:pPr>
              <w:pStyle w:val="16"/>
            </w:pPr>
            <w:r>
              <w:rPr>
                <w:rFonts w:hint="eastAsia"/>
              </w:rPr>
              <w:t>颗粒度（80目孔径筛）/%</w:t>
            </w:r>
          </w:p>
        </w:tc>
        <w:tc>
          <w:tcPr>
            <w:tcW w:w="2044" w:type="dxa"/>
            <w:vAlign w:val="center"/>
          </w:tcPr>
          <w:p w14:paraId="7F78D8C2">
            <w:pPr>
              <w:pStyle w:val="16"/>
            </w:pPr>
            <w:r>
              <w:rPr>
                <w:rFonts w:hint="eastAsia"/>
              </w:rPr>
              <w:t>≥95</w:t>
            </w:r>
          </w:p>
        </w:tc>
      </w:tr>
      <w:tr w14:paraId="7F4E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vAlign w:val="center"/>
          </w:tcPr>
          <w:p w14:paraId="2D190B19">
            <w:pPr>
              <w:pStyle w:val="16"/>
            </w:pPr>
            <w:r>
              <w:rPr>
                <w:rFonts w:hint="eastAsia"/>
              </w:rPr>
              <w:t>含量/%</w:t>
            </w:r>
          </w:p>
        </w:tc>
        <w:tc>
          <w:tcPr>
            <w:tcW w:w="2044" w:type="dxa"/>
            <w:vAlign w:val="center"/>
          </w:tcPr>
          <w:p w14:paraId="34CB88DD">
            <w:pPr>
              <w:pStyle w:val="16"/>
            </w:pPr>
            <w:r>
              <w:rPr>
                <w:rFonts w:hint="eastAsia"/>
              </w:rPr>
              <w:t>≥95</w:t>
            </w:r>
          </w:p>
        </w:tc>
      </w:tr>
    </w:tbl>
    <w:p w14:paraId="78A2ED25">
      <w:pPr>
        <w:pStyle w:val="2"/>
        <w:rPr>
          <w:rFonts w:hint="eastAsia" w:ascii="黑体" w:hAnsi="黑体" w:cs="黑体"/>
        </w:rPr>
      </w:pPr>
    </w:p>
    <w:p w14:paraId="1D709A75">
      <w:pPr>
        <w:pStyle w:val="2"/>
        <w:rPr>
          <w:rFonts w:hint="eastAsia" w:ascii="黑体" w:hAnsi="黑体" w:cs="黑体"/>
        </w:rPr>
      </w:pPr>
      <w:r>
        <w:rPr>
          <w:rFonts w:hint="eastAsia" w:ascii="黑体" w:hAnsi="黑体" w:cs="黑体"/>
        </w:rPr>
        <w:t>5.3 微生物及有害物质指标要求</w:t>
      </w:r>
    </w:p>
    <w:p w14:paraId="03E23148">
      <w:pPr>
        <w:spacing w:before="120" w:after="120" w:line="288" w:lineRule="auto"/>
        <w:ind w:left="453"/>
        <w:jc w:val="left"/>
      </w:pPr>
      <w:r>
        <w:rPr>
          <w:rFonts w:hint="eastAsia" w:ascii="宋体" w:hAnsi="宋体" w:eastAsia="宋体" w:cs="宋体"/>
          <w:szCs w:val="21"/>
        </w:rPr>
        <w:t>根皮素的微生物及有害物质指标要求详见表3。</w:t>
      </w:r>
    </w:p>
    <w:p w14:paraId="1789422B">
      <w:pPr>
        <w:widowControl/>
        <w:spacing w:before="120" w:after="120" w:line="288" w:lineRule="auto"/>
        <w:jc w:val="center"/>
        <w:rPr>
          <w:rFonts w:hint="eastAsia" w:ascii="宋体" w:hAnsi="宋体" w:eastAsia="宋体" w:cs="宋体"/>
          <w:szCs w:val="21"/>
        </w:rPr>
      </w:pPr>
      <w:r>
        <w:rPr>
          <w:rFonts w:hint="eastAsia" w:ascii="宋体" w:hAnsi="宋体" w:eastAsia="宋体" w:cs="宋体"/>
          <w:szCs w:val="21"/>
        </w:rPr>
        <w:t>表3 微生物及有害物质指标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4815"/>
        <w:gridCol w:w="2065"/>
      </w:tblGrid>
      <w:tr w14:paraId="3500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6" w:type="dxa"/>
            <w:gridSpan w:val="2"/>
          </w:tcPr>
          <w:p w14:paraId="07BC2924">
            <w:pPr>
              <w:jc w:val="center"/>
              <w:rPr>
                <w:rFonts w:hint="eastAsia" w:ascii="宋体" w:hAnsi="宋体" w:eastAsia="宋体" w:cs="宋体"/>
                <w:sz w:val="18"/>
                <w:szCs w:val="20"/>
              </w:rPr>
            </w:pPr>
            <w:r>
              <w:rPr>
                <w:rFonts w:hint="eastAsia" w:ascii="宋体" w:hAnsi="宋体" w:eastAsia="宋体" w:cs="宋体"/>
                <w:sz w:val="18"/>
                <w:szCs w:val="20"/>
              </w:rPr>
              <w:t>项目</w:t>
            </w:r>
          </w:p>
        </w:tc>
        <w:tc>
          <w:tcPr>
            <w:tcW w:w="2065" w:type="dxa"/>
          </w:tcPr>
          <w:p w14:paraId="5883026C">
            <w:pPr>
              <w:jc w:val="center"/>
              <w:rPr>
                <w:rFonts w:hint="eastAsia" w:ascii="宋体" w:hAnsi="宋体" w:eastAsia="宋体" w:cs="宋体"/>
                <w:sz w:val="18"/>
                <w:szCs w:val="20"/>
              </w:rPr>
            </w:pPr>
            <w:r>
              <w:rPr>
                <w:rFonts w:hint="eastAsia" w:ascii="宋体" w:hAnsi="宋体" w:eastAsia="宋体" w:cs="宋体"/>
                <w:sz w:val="18"/>
                <w:szCs w:val="20"/>
              </w:rPr>
              <w:t>要求</w:t>
            </w:r>
          </w:p>
        </w:tc>
      </w:tr>
      <w:tr w14:paraId="475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restart"/>
            <w:vAlign w:val="center"/>
          </w:tcPr>
          <w:p w14:paraId="7CB25A41">
            <w:pPr>
              <w:jc w:val="center"/>
              <w:rPr>
                <w:rFonts w:hint="eastAsia" w:ascii="宋体" w:hAnsi="宋体" w:eastAsia="宋体" w:cs="宋体"/>
                <w:sz w:val="18"/>
                <w:szCs w:val="20"/>
              </w:rPr>
            </w:pPr>
            <w:r>
              <w:rPr>
                <w:rFonts w:hint="eastAsia" w:ascii="宋体" w:hAnsi="宋体" w:eastAsia="宋体" w:cs="宋体"/>
                <w:sz w:val="18"/>
                <w:szCs w:val="20"/>
              </w:rPr>
              <w:t>微生物指标</w:t>
            </w:r>
          </w:p>
        </w:tc>
        <w:tc>
          <w:tcPr>
            <w:tcW w:w="4815" w:type="dxa"/>
            <w:shd w:val="clear" w:color="auto" w:fill="auto"/>
          </w:tcPr>
          <w:p w14:paraId="613D7C8D">
            <w:pPr>
              <w:jc w:val="left"/>
              <w:rPr>
                <w:rFonts w:hint="eastAsia" w:ascii="宋体" w:hAnsi="宋体" w:eastAsia="宋体" w:cs="宋体"/>
                <w:sz w:val="18"/>
                <w:szCs w:val="18"/>
              </w:rPr>
            </w:pPr>
            <w:r>
              <w:rPr>
                <w:rFonts w:hint="eastAsia" w:ascii="宋体" w:hAnsi="宋体" w:eastAsia="宋体" w:cs="宋体"/>
                <w:sz w:val="18"/>
                <w:szCs w:val="18"/>
              </w:rPr>
              <w:t>菌落总数/（CFU/mL）</w:t>
            </w:r>
          </w:p>
        </w:tc>
        <w:tc>
          <w:tcPr>
            <w:tcW w:w="2065" w:type="dxa"/>
            <w:shd w:val="clear" w:color="auto" w:fill="auto"/>
          </w:tcPr>
          <w:p w14:paraId="0EE020B1">
            <w:pPr>
              <w:jc w:val="center"/>
              <w:rPr>
                <w:rFonts w:hint="eastAsia" w:ascii="宋体" w:hAnsi="宋体" w:eastAsia="宋体" w:cs="宋体"/>
                <w:sz w:val="18"/>
                <w:szCs w:val="18"/>
              </w:rPr>
            </w:pPr>
            <w:r>
              <w:rPr>
                <w:rFonts w:hint="eastAsia" w:ascii="宋体" w:hAnsi="宋体" w:eastAsia="宋体" w:cs="宋体"/>
                <w:sz w:val="18"/>
                <w:szCs w:val="18"/>
              </w:rPr>
              <w:t>≤1000</w:t>
            </w:r>
          </w:p>
        </w:tc>
      </w:tr>
      <w:tr w14:paraId="3D6F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14:paraId="4FF25F0B">
            <w:pPr>
              <w:jc w:val="center"/>
              <w:rPr>
                <w:rFonts w:hint="eastAsia" w:ascii="宋体" w:hAnsi="宋体" w:eastAsia="宋体" w:cs="宋体"/>
                <w:sz w:val="18"/>
                <w:szCs w:val="20"/>
              </w:rPr>
            </w:pPr>
          </w:p>
        </w:tc>
        <w:tc>
          <w:tcPr>
            <w:tcW w:w="4815" w:type="dxa"/>
            <w:shd w:val="clear" w:color="auto" w:fill="auto"/>
          </w:tcPr>
          <w:p w14:paraId="20350443">
            <w:pPr>
              <w:jc w:val="left"/>
              <w:rPr>
                <w:rFonts w:hint="eastAsia" w:ascii="宋体" w:hAnsi="宋体" w:eastAsia="宋体" w:cs="宋体"/>
                <w:sz w:val="18"/>
                <w:szCs w:val="18"/>
              </w:rPr>
            </w:pPr>
            <w:r>
              <w:rPr>
                <w:rFonts w:hint="eastAsia" w:ascii="宋体" w:hAnsi="宋体" w:eastAsia="宋体" w:cs="宋体"/>
                <w:sz w:val="18"/>
                <w:szCs w:val="18"/>
              </w:rPr>
              <w:t>霉菌和酵母菌总数/（CFU/mL）</w:t>
            </w:r>
          </w:p>
        </w:tc>
        <w:tc>
          <w:tcPr>
            <w:tcW w:w="2065" w:type="dxa"/>
            <w:shd w:val="clear" w:color="auto" w:fill="auto"/>
          </w:tcPr>
          <w:p w14:paraId="2CF13AF5">
            <w:pPr>
              <w:jc w:val="center"/>
              <w:rPr>
                <w:rFonts w:hint="eastAsia" w:ascii="宋体" w:hAnsi="宋体" w:eastAsia="宋体" w:cs="宋体"/>
                <w:sz w:val="18"/>
                <w:szCs w:val="18"/>
              </w:rPr>
            </w:pPr>
            <w:r>
              <w:rPr>
                <w:rFonts w:hint="eastAsia" w:ascii="宋体" w:hAnsi="宋体" w:eastAsia="宋体" w:cs="宋体"/>
                <w:sz w:val="18"/>
                <w:szCs w:val="18"/>
              </w:rPr>
              <w:t>≤100</w:t>
            </w:r>
          </w:p>
        </w:tc>
      </w:tr>
      <w:tr w14:paraId="070C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14:paraId="7E796DA1">
            <w:pPr>
              <w:jc w:val="center"/>
              <w:rPr>
                <w:rFonts w:hint="eastAsia" w:ascii="宋体" w:hAnsi="宋体" w:eastAsia="宋体" w:cs="宋体"/>
                <w:sz w:val="18"/>
                <w:szCs w:val="20"/>
              </w:rPr>
            </w:pPr>
          </w:p>
        </w:tc>
        <w:tc>
          <w:tcPr>
            <w:tcW w:w="4815" w:type="dxa"/>
            <w:shd w:val="clear" w:color="auto" w:fill="auto"/>
          </w:tcPr>
          <w:p w14:paraId="136FB56C">
            <w:pPr>
              <w:jc w:val="left"/>
              <w:rPr>
                <w:rFonts w:hint="eastAsia" w:ascii="宋体" w:hAnsi="宋体" w:eastAsia="宋体" w:cs="宋体"/>
                <w:sz w:val="18"/>
                <w:szCs w:val="18"/>
              </w:rPr>
            </w:pPr>
            <w:r>
              <w:rPr>
                <w:rFonts w:hint="eastAsia" w:ascii="宋体" w:hAnsi="宋体" w:eastAsia="宋体" w:cs="宋体"/>
                <w:sz w:val="18"/>
                <w:szCs w:val="18"/>
              </w:rPr>
              <w:t>耐热大肠菌群/（CFU/mL）</w:t>
            </w:r>
          </w:p>
        </w:tc>
        <w:tc>
          <w:tcPr>
            <w:tcW w:w="2065" w:type="dxa"/>
            <w:shd w:val="clear" w:color="auto" w:fill="auto"/>
          </w:tcPr>
          <w:p w14:paraId="3F8FB47F">
            <w:pPr>
              <w:jc w:val="center"/>
              <w:rPr>
                <w:rFonts w:hint="eastAsia" w:ascii="宋体" w:hAnsi="宋体" w:eastAsia="宋体" w:cs="宋体"/>
                <w:sz w:val="18"/>
                <w:szCs w:val="18"/>
              </w:rPr>
            </w:pPr>
            <w:r>
              <w:rPr>
                <w:rFonts w:hint="eastAsia" w:ascii="宋体" w:hAnsi="宋体" w:eastAsia="宋体" w:cs="宋体"/>
                <w:sz w:val="18"/>
                <w:szCs w:val="18"/>
              </w:rPr>
              <w:t>不应检出</w:t>
            </w:r>
          </w:p>
        </w:tc>
      </w:tr>
      <w:tr w14:paraId="06BE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14:paraId="79E01C47">
            <w:pPr>
              <w:jc w:val="center"/>
              <w:rPr>
                <w:rFonts w:hint="eastAsia" w:ascii="宋体" w:hAnsi="宋体" w:eastAsia="宋体" w:cs="宋体"/>
                <w:sz w:val="18"/>
                <w:szCs w:val="20"/>
              </w:rPr>
            </w:pPr>
          </w:p>
        </w:tc>
        <w:tc>
          <w:tcPr>
            <w:tcW w:w="4815" w:type="dxa"/>
            <w:shd w:val="clear" w:color="auto" w:fill="auto"/>
          </w:tcPr>
          <w:p w14:paraId="25A9CB94">
            <w:pPr>
              <w:jc w:val="left"/>
              <w:rPr>
                <w:rFonts w:hint="eastAsia" w:ascii="宋体" w:hAnsi="宋体" w:eastAsia="宋体" w:cs="宋体"/>
                <w:sz w:val="18"/>
                <w:szCs w:val="18"/>
              </w:rPr>
            </w:pPr>
            <w:r>
              <w:rPr>
                <w:rFonts w:hint="eastAsia" w:ascii="宋体" w:hAnsi="宋体" w:eastAsia="宋体" w:cs="宋体"/>
                <w:sz w:val="18"/>
                <w:szCs w:val="18"/>
              </w:rPr>
              <w:t>铜绿假单胞菌/（CFU/mL）</w:t>
            </w:r>
          </w:p>
        </w:tc>
        <w:tc>
          <w:tcPr>
            <w:tcW w:w="2065" w:type="dxa"/>
            <w:shd w:val="clear" w:color="auto" w:fill="auto"/>
          </w:tcPr>
          <w:p w14:paraId="7DF3A2EF">
            <w:pPr>
              <w:jc w:val="center"/>
              <w:rPr>
                <w:rFonts w:hint="eastAsia" w:ascii="宋体" w:hAnsi="宋体" w:eastAsia="宋体" w:cs="宋体"/>
                <w:sz w:val="18"/>
                <w:szCs w:val="18"/>
              </w:rPr>
            </w:pPr>
            <w:r>
              <w:rPr>
                <w:rFonts w:hint="eastAsia" w:ascii="宋体" w:hAnsi="宋体" w:eastAsia="宋体" w:cs="宋体"/>
                <w:sz w:val="18"/>
                <w:szCs w:val="18"/>
              </w:rPr>
              <w:t>不应检出</w:t>
            </w:r>
          </w:p>
        </w:tc>
      </w:tr>
      <w:tr w14:paraId="3EB2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14:paraId="5D9407C4">
            <w:pPr>
              <w:jc w:val="center"/>
              <w:rPr>
                <w:rFonts w:hint="eastAsia" w:ascii="宋体" w:hAnsi="宋体" w:eastAsia="宋体" w:cs="宋体"/>
                <w:sz w:val="18"/>
                <w:szCs w:val="20"/>
              </w:rPr>
            </w:pPr>
          </w:p>
        </w:tc>
        <w:tc>
          <w:tcPr>
            <w:tcW w:w="4815" w:type="dxa"/>
            <w:shd w:val="clear" w:color="auto" w:fill="auto"/>
          </w:tcPr>
          <w:p w14:paraId="12FAD3DB">
            <w:pPr>
              <w:jc w:val="left"/>
              <w:rPr>
                <w:rFonts w:hint="eastAsia" w:ascii="宋体" w:hAnsi="宋体" w:eastAsia="宋体" w:cs="宋体"/>
                <w:sz w:val="18"/>
                <w:szCs w:val="18"/>
              </w:rPr>
            </w:pPr>
            <w:r>
              <w:rPr>
                <w:rFonts w:hint="eastAsia" w:ascii="宋体" w:hAnsi="宋体" w:eastAsia="宋体" w:cs="宋体"/>
                <w:sz w:val="18"/>
                <w:szCs w:val="18"/>
              </w:rPr>
              <w:t>金黄色葡萄球菌/（CFU/mL）</w:t>
            </w:r>
          </w:p>
        </w:tc>
        <w:tc>
          <w:tcPr>
            <w:tcW w:w="2065" w:type="dxa"/>
            <w:shd w:val="clear" w:color="auto" w:fill="auto"/>
          </w:tcPr>
          <w:p w14:paraId="3B9E3061">
            <w:pPr>
              <w:jc w:val="center"/>
              <w:rPr>
                <w:rFonts w:hint="eastAsia" w:ascii="宋体" w:hAnsi="宋体" w:eastAsia="宋体" w:cs="宋体"/>
                <w:sz w:val="18"/>
                <w:szCs w:val="18"/>
              </w:rPr>
            </w:pPr>
            <w:r>
              <w:rPr>
                <w:rFonts w:hint="eastAsia" w:ascii="宋体" w:hAnsi="宋体" w:eastAsia="宋体" w:cs="宋体"/>
                <w:sz w:val="18"/>
                <w:szCs w:val="18"/>
              </w:rPr>
              <w:t>不应检出</w:t>
            </w:r>
          </w:p>
        </w:tc>
      </w:tr>
      <w:tr w14:paraId="5570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restart"/>
            <w:vAlign w:val="center"/>
          </w:tcPr>
          <w:p w14:paraId="6F32C299">
            <w:pPr>
              <w:jc w:val="center"/>
              <w:rPr>
                <w:rFonts w:hint="eastAsia" w:ascii="宋体" w:hAnsi="宋体" w:eastAsia="宋体" w:cs="宋体"/>
                <w:sz w:val="18"/>
                <w:szCs w:val="20"/>
              </w:rPr>
            </w:pPr>
            <w:r>
              <w:rPr>
                <w:rFonts w:hint="eastAsia" w:ascii="宋体" w:hAnsi="宋体" w:eastAsia="宋体" w:cs="宋体"/>
                <w:sz w:val="18"/>
                <w:szCs w:val="20"/>
              </w:rPr>
              <w:t>有害物质指标</w:t>
            </w:r>
          </w:p>
        </w:tc>
        <w:tc>
          <w:tcPr>
            <w:tcW w:w="4815" w:type="dxa"/>
            <w:shd w:val="clear" w:color="auto" w:fill="auto"/>
            <w:vAlign w:val="center"/>
          </w:tcPr>
          <w:p w14:paraId="09604B8A">
            <w:pPr>
              <w:pStyle w:val="16"/>
              <w:jc w:val="left"/>
              <w:rPr>
                <w:rFonts w:hint="eastAsia" w:hAnsi="宋体" w:cs="宋体"/>
              </w:rPr>
            </w:pPr>
            <w:r>
              <w:rPr>
                <w:rFonts w:hint="eastAsia" w:hAnsi="宋体" w:cs="宋体"/>
              </w:rPr>
              <w:t>铅（mg/kg）</w:t>
            </w:r>
          </w:p>
        </w:tc>
        <w:tc>
          <w:tcPr>
            <w:tcW w:w="2065" w:type="dxa"/>
            <w:shd w:val="clear" w:color="auto" w:fill="auto"/>
            <w:vAlign w:val="center"/>
          </w:tcPr>
          <w:p w14:paraId="4E3EAC99">
            <w:pPr>
              <w:pStyle w:val="16"/>
              <w:rPr>
                <w:rFonts w:hint="eastAsia" w:hAnsi="宋体" w:cs="宋体"/>
              </w:rPr>
            </w:pPr>
            <w:r>
              <w:rPr>
                <w:rFonts w:hint="eastAsia" w:hAnsi="宋体" w:cs="宋体"/>
              </w:rPr>
              <w:t>≤10</w:t>
            </w:r>
          </w:p>
        </w:tc>
      </w:tr>
      <w:tr w14:paraId="513B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14:paraId="4DFA01DD">
            <w:pPr>
              <w:jc w:val="center"/>
              <w:rPr>
                <w:rFonts w:hint="eastAsia" w:ascii="宋体" w:hAnsi="宋体" w:eastAsia="宋体" w:cs="宋体"/>
                <w:sz w:val="18"/>
                <w:szCs w:val="20"/>
              </w:rPr>
            </w:pPr>
          </w:p>
        </w:tc>
        <w:tc>
          <w:tcPr>
            <w:tcW w:w="4815" w:type="dxa"/>
            <w:shd w:val="clear" w:color="auto" w:fill="auto"/>
            <w:vAlign w:val="center"/>
          </w:tcPr>
          <w:p w14:paraId="0B265F18">
            <w:pPr>
              <w:pStyle w:val="16"/>
              <w:jc w:val="left"/>
              <w:rPr>
                <w:rFonts w:hint="eastAsia" w:hAnsi="宋体" w:cs="宋体"/>
              </w:rPr>
            </w:pPr>
            <w:r>
              <w:rPr>
                <w:rFonts w:hint="eastAsia" w:hAnsi="宋体" w:cs="宋体"/>
              </w:rPr>
              <w:t>汞（mg/kg）</w:t>
            </w:r>
          </w:p>
        </w:tc>
        <w:tc>
          <w:tcPr>
            <w:tcW w:w="2065" w:type="dxa"/>
            <w:shd w:val="clear" w:color="auto" w:fill="auto"/>
            <w:vAlign w:val="center"/>
          </w:tcPr>
          <w:p w14:paraId="5A1ACD18">
            <w:pPr>
              <w:pStyle w:val="16"/>
              <w:rPr>
                <w:rFonts w:hint="eastAsia" w:hAnsi="宋体" w:cs="宋体"/>
              </w:rPr>
            </w:pPr>
            <w:r>
              <w:rPr>
                <w:rFonts w:hint="eastAsia" w:hAnsi="宋体" w:cs="宋体"/>
              </w:rPr>
              <w:t>≤1</w:t>
            </w:r>
          </w:p>
        </w:tc>
      </w:tr>
      <w:tr w14:paraId="1323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14:paraId="60739031">
            <w:pPr>
              <w:jc w:val="center"/>
              <w:rPr>
                <w:rFonts w:hint="eastAsia" w:ascii="宋体" w:hAnsi="宋体" w:eastAsia="宋体" w:cs="宋体"/>
                <w:sz w:val="18"/>
                <w:szCs w:val="20"/>
              </w:rPr>
            </w:pPr>
          </w:p>
        </w:tc>
        <w:tc>
          <w:tcPr>
            <w:tcW w:w="4815" w:type="dxa"/>
            <w:shd w:val="clear" w:color="auto" w:fill="auto"/>
            <w:vAlign w:val="center"/>
          </w:tcPr>
          <w:p w14:paraId="4C6F91E6">
            <w:pPr>
              <w:pStyle w:val="16"/>
              <w:jc w:val="left"/>
              <w:rPr>
                <w:rFonts w:hint="eastAsia" w:hAnsi="宋体" w:cs="宋体"/>
              </w:rPr>
            </w:pPr>
            <w:r>
              <w:rPr>
                <w:rFonts w:hint="eastAsia" w:hAnsi="宋体" w:cs="宋体"/>
              </w:rPr>
              <w:t>砷（mg/kg）</w:t>
            </w:r>
          </w:p>
        </w:tc>
        <w:tc>
          <w:tcPr>
            <w:tcW w:w="2065" w:type="dxa"/>
            <w:shd w:val="clear" w:color="auto" w:fill="auto"/>
            <w:vAlign w:val="center"/>
          </w:tcPr>
          <w:p w14:paraId="6F3D062F">
            <w:pPr>
              <w:pStyle w:val="16"/>
              <w:rPr>
                <w:rFonts w:hint="eastAsia" w:hAnsi="宋体" w:cs="宋体"/>
              </w:rPr>
            </w:pPr>
            <w:r>
              <w:rPr>
                <w:rFonts w:hint="eastAsia" w:hAnsi="宋体" w:cs="宋体"/>
              </w:rPr>
              <w:t>≤2</w:t>
            </w:r>
          </w:p>
        </w:tc>
      </w:tr>
      <w:tr w14:paraId="216F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14:paraId="477EDFF4">
            <w:pPr>
              <w:jc w:val="center"/>
              <w:rPr>
                <w:rFonts w:hint="eastAsia" w:ascii="宋体" w:hAnsi="宋体" w:eastAsia="宋体" w:cs="宋体"/>
                <w:sz w:val="18"/>
                <w:szCs w:val="20"/>
              </w:rPr>
            </w:pPr>
          </w:p>
        </w:tc>
        <w:tc>
          <w:tcPr>
            <w:tcW w:w="4815" w:type="dxa"/>
            <w:shd w:val="clear" w:color="auto" w:fill="auto"/>
            <w:vAlign w:val="center"/>
          </w:tcPr>
          <w:p w14:paraId="69627066">
            <w:pPr>
              <w:pStyle w:val="16"/>
              <w:jc w:val="left"/>
              <w:rPr>
                <w:rFonts w:hint="eastAsia" w:hAnsi="宋体" w:cs="宋体"/>
              </w:rPr>
            </w:pPr>
            <w:r>
              <w:rPr>
                <w:rFonts w:hint="eastAsia" w:hAnsi="宋体" w:cs="宋体"/>
              </w:rPr>
              <w:t>镉（mg/kg）</w:t>
            </w:r>
          </w:p>
        </w:tc>
        <w:tc>
          <w:tcPr>
            <w:tcW w:w="2065" w:type="dxa"/>
            <w:shd w:val="clear" w:color="auto" w:fill="auto"/>
            <w:vAlign w:val="center"/>
          </w:tcPr>
          <w:p w14:paraId="007EF451">
            <w:pPr>
              <w:pStyle w:val="16"/>
              <w:rPr>
                <w:rFonts w:hint="eastAsia" w:hAnsi="宋体" w:cs="宋体"/>
              </w:rPr>
            </w:pPr>
            <w:r>
              <w:rPr>
                <w:rFonts w:hint="eastAsia" w:hAnsi="宋体" w:cs="宋体"/>
              </w:rPr>
              <w:t>≤5</w:t>
            </w:r>
          </w:p>
        </w:tc>
      </w:tr>
    </w:tbl>
    <w:p w14:paraId="4BA2AEE9">
      <w:pPr>
        <w:pStyle w:val="19"/>
        <w:numPr>
          <w:ilvl w:val="1"/>
          <w:numId w:val="0"/>
        </w:numPr>
        <w:spacing w:before="240" w:after="240"/>
        <w:rPr>
          <w:rFonts w:hint="eastAsia" w:ascii="黑体" w:hAnsi="Times New Roman" w:eastAsia="黑体" w:cs="Times New Roman"/>
          <w:szCs w:val="20"/>
        </w:rPr>
      </w:pPr>
      <w:bookmarkStart w:id="6" w:name="_Toc27839"/>
      <w:r>
        <w:rPr>
          <w:rFonts w:hint="eastAsia" w:ascii="黑体" w:hAnsi="Times New Roman" w:eastAsia="黑体" w:cs="Times New Roman"/>
          <w:szCs w:val="20"/>
        </w:rPr>
        <w:t>6 检验方法</w:t>
      </w:r>
      <w:bookmarkEnd w:id="6"/>
    </w:p>
    <w:p w14:paraId="3B1D0802">
      <w:pPr>
        <w:pStyle w:val="18"/>
        <w:numPr>
          <w:ilvl w:val="2"/>
          <w:numId w:val="0"/>
        </w:numPr>
        <w:spacing w:before="120" w:after="120"/>
      </w:pPr>
      <w:bookmarkStart w:id="7" w:name="_Toc176199741"/>
      <w:r>
        <w:rPr>
          <w:rFonts w:hint="eastAsia"/>
          <w:color w:val="000000"/>
          <w14:scene3d>
            <w14:lightRig w14:rig="threePt" w14:dir="t">
              <w14:rot w14:lat="0" w14:lon="0" w14:rev="0"/>
            </w14:lightRig>
          </w14:scene3d>
        </w:rPr>
        <w:t>6.1　感官检验</w:t>
      </w:r>
      <w:bookmarkEnd w:id="7"/>
    </w:p>
    <w:p w14:paraId="63C91156">
      <w:pPr>
        <w:pStyle w:val="18"/>
        <w:numPr>
          <w:ilvl w:val="2"/>
          <w:numId w:val="0"/>
        </w:numPr>
        <w:spacing w:before="120" w:after="120"/>
        <w:ind w:firstLine="420" w:firstLineChars="200"/>
        <w:rPr>
          <w:rFonts w:ascii="宋体" w:eastAsia="宋体"/>
        </w:rPr>
      </w:pPr>
      <w:r>
        <w:rPr>
          <w:rFonts w:hint="eastAsia" w:ascii="宋体" w:eastAsia="宋体"/>
        </w:rPr>
        <w:t>启开试样后，取适量置于白色瓷盘中，在自然光线下，观察其外观色泽，并检查有无异物。</w:t>
      </w:r>
    </w:p>
    <w:p w14:paraId="33AAFD90">
      <w:pPr>
        <w:pStyle w:val="18"/>
        <w:numPr>
          <w:ilvl w:val="2"/>
          <w:numId w:val="0"/>
        </w:numPr>
        <w:spacing w:before="120" w:after="120"/>
      </w:pPr>
      <w:r>
        <w:rPr>
          <w:rFonts w:hint="eastAsia"/>
          <w:color w:val="000000"/>
          <w14:scene3d>
            <w14:lightRig w14:rig="threePt" w14:dir="t">
              <w14:rot w14:lat="0" w14:lon="0" w14:rev="0"/>
            </w14:lightRig>
          </w14:scene3d>
        </w:rPr>
        <w:t>6.2　水分</w:t>
      </w:r>
    </w:p>
    <w:p w14:paraId="41CE57AD">
      <w:pPr>
        <w:pStyle w:val="17"/>
        <w:ind w:firstLine="420"/>
      </w:pPr>
      <w:r>
        <w:rPr>
          <w:rFonts w:hint="eastAsia"/>
        </w:rPr>
        <w:t>按GB 5009.3第一法规定的方法测定。</w:t>
      </w:r>
    </w:p>
    <w:p w14:paraId="240663F0">
      <w:pPr>
        <w:pStyle w:val="18"/>
        <w:numPr>
          <w:ilvl w:val="2"/>
          <w:numId w:val="0"/>
        </w:numPr>
        <w:spacing w:before="120" w:after="120"/>
      </w:pPr>
      <w:r>
        <w:rPr>
          <w:rFonts w:hint="eastAsia"/>
          <w:color w:val="000000"/>
          <w14:scene3d>
            <w14:lightRig w14:rig="threePt" w14:dir="t">
              <w14:rot w14:lat="0" w14:lon="0" w14:rev="0"/>
            </w14:lightRig>
          </w14:scene3d>
        </w:rPr>
        <w:t>6.3　灰分</w:t>
      </w:r>
    </w:p>
    <w:p w14:paraId="2434AABB">
      <w:pPr>
        <w:pStyle w:val="17"/>
        <w:ind w:firstLine="420"/>
      </w:pPr>
      <w:r>
        <w:rPr>
          <w:rFonts w:hint="eastAsia"/>
        </w:rPr>
        <w:t>按GB 5009.4第一法规定的方法测定。</w:t>
      </w:r>
    </w:p>
    <w:p w14:paraId="138698C9">
      <w:pPr>
        <w:pStyle w:val="18"/>
        <w:numPr>
          <w:ilvl w:val="2"/>
          <w:numId w:val="0"/>
        </w:numPr>
        <w:spacing w:before="120" w:after="120"/>
      </w:pPr>
      <w:r>
        <w:rPr>
          <w:rFonts w:hint="eastAsia"/>
          <w:color w:val="000000"/>
          <w14:scene3d>
            <w14:lightRig w14:rig="threePt" w14:dir="t">
              <w14:rot w14:lat="0" w14:lon="0" w14:rev="0"/>
            </w14:lightRig>
          </w14:scene3d>
        </w:rPr>
        <w:t>6.4　</w:t>
      </w:r>
      <w:r>
        <w:rPr>
          <w:rFonts w:hint="eastAsia"/>
        </w:rPr>
        <w:t>颗粒度</w:t>
      </w:r>
    </w:p>
    <w:p w14:paraId="2DA00A1F">
      <w:pPr>
        <w:pStyle w:val="17"/>
        <w:ind w:firstLine="420"/>
      </w:pPr>
      <w:r>
        <w:rPr>
          <w:rFonts w:hint="eastAsia"/>
        </w:rPr>
        <w:t>按GB/T 13531.6规定的方法测定。</w:t>
      </w:r>
    </w:p>
    <w:p w14:paraId="6FB11C74">
      <w:pPr>
        <w:pStyle w:val="18"/>
        <w:numPr>
          <w:ilvl w:val="2"/>
          <w:numId w:val="0"/>
        </w:numPr>
        <w:spacing w:before="120" w:after="120"/>
      </w:pPr>
      <w:bookmarkStart w:id="8" w:name="_Toc176199745"/>
      <w:r>
        <w:rPr>
          <w:rFonts w:hint="eastAsia"/>
          <w:color w:val="000000"/>
          <w14:scene3d>
            <w14:lightRig w14:rig="threePt" w14:dir="t">
              <w14:rot w14:lat="0" w14:lon="0" w14:rev="0"/>
            </w14:lightRig>
          </w14:scene3d>
        </w:rPr>
        <w:t>6.5　含量</w:t>
      </w:r>
      <w:bookmarkEnd w:id="8"/>
    </w:p>
    <w:p w14:paraId="789D7C22">
      <w:pPr>
        <w:pStyle w:val="17"/>
        <w:ind w:firstLine="420"/>
      </w:pPr>
      <w:r>
        <w:rPr>
          <w:rFonts w:hint="eastAsia"/>
        </w:rPr>
        <w:t>按</w:t>
      </w:r>
      <w:r>
        <w:t>GB 1886.261</w:t>
      </w:r>
      <w:r>
        <w:rPr>
          <w:rFonts w:hint="eastAsia"/>
        </w:rPr>
        <w:t>规定的方法测定。</w:t>
      </w:r>
    </w:p>
    <w:p w14:paraId="4CB01711">
      <w:pPr>
        <w:pStyle w:val="18"/>
        <w:numPr>
          <w:ilvl w:val="2"/>
          <w:numId w:val="0"/>
        </w:numPr>
        <w:spacing w:before="120" w:after="120"/>
      </w:pPr>
      <w:bookmarkStart w:id="9" w:name="_Toc176199755"/>
      <w:r>
        <w:rPr>
          <w:rFonts w:hint="eastAsia"/>
          <w:color w:val="000000"/>
          <w14:scene3d>
            <w14:lightRig w14:rig="threePt" w14:dir="t">
              <w14:rot w14:lat="0" w14:lon="0" w14:rev="0"/>
            </w14:lightRig>
          </w14:scene3d>
        </w:rPr>
        <w:t>6.6　</w:t>
      </w:r>
      <w:r>
        <w:rPr>
          <w:rFonts w:hint="eastAsia"/>
        </w:rPr>
        <w:t>微生物</w:t>
      </w:r>
      <w:bookmarkEnd w:id="9"/>
    </w:p>
    <w:p w14:paraId="1A71C49D">
      <w:pPr>
        <w:pStyle w:val="17"/>
        <w:ind w:firstLine="420"/>
      </w:pPr>
      <w:r>
        <w:rPr>
          <w:rFonts w:hint="eastAsia"/>
        </w:rPr>
        <w:t>按《化妆品安全技术规范》</w:t>
      </w:r>
      <w:r>
        <w:rPr>
          <w:rFonts w:hint="eastAsia" w:hAnsi="宋体" w:cs="宋体"/>
          <w:kern w:val="2"/>
          <w:szCs w:val="21"/>
        </w:rPr>
        <w:t>（2015年版）中规定的方法检验</w:t>
      </w:r>
      <w:r>
        <w:rPr>
          <w:rFonts w:hint="eastAsia"/>
        </w:rPr>
        <w:t>。</w:t>
      </w:r>
    </w:p>
    <w:p w14:paraId="199081EC">
      <w:pPr>
        <w:pStyle w:val="18"/>
        <w:numPr>
          <w:ilvl w:val="2"/>
          <w:numId w:val="0"/>
        </w:numPr>
        <w:spacing w:before="120" w:after="120"/>
      </w:pPr>
      <w:bookmarkStart w:id="10" w:name="_Toc176199756"/>
      <w:r>
        <w:rPr>
          <w:rFonts w:hint="eastAsia"/>
          <w:color w:val="000000"/>
          <w14:scene3d>
            <w14:lightRig w14:rig="threePt" w14:dir="t">
              <w14:rot w14:lat="0" w14:lon="0" w14:rev="0"/>
            </w14:lightRig>
          </w14:scene3d>
        </w:rPr>
        <w:t>6.7　有害物质</w:t>
      </w:r>
      <w:bookmarkEnd w:id="10"/>
    </w:p>
    <w:p w14:paraId="57D4E7C4">
      <w:pPr>
        <w:pStyle w:val="17"/>
        <w:ind w:firstLine="420"/>
      </w:pPr>
      <w:bookmarkStart w:id="11" w:name="_Toc176199760"/>
      <w:r>
        <w:rPr>
          <w:rFonts w:hint="eastAsia"/>
        </w:rPr>
        <w:t>按《化妆品安全技术规范》</w:t>
      </w:r>
      <w:r>
        <w:rPr>
          <w:rFonts w:hint="eastAsia" w:hAnsi="宋体" w:cs="宋体"/>
          <w:kern w:val="2"/>
          <w:szCs w:val="21"/>
        </w:rPr>
        <w:t>（2015年版）中规定的方法检验</w:t>
      </w:r>
      <w:r>
        <w:rPr>
          <w:rFonts w:hint="eastAsia"/>
        </w:rPr>
        <w:t>。</w:t>
      </w:r>
    </w:p>
    <w:bookmarkEnd w:id="11"/>
    <w:p w14:paraId="1DCC2A6A">
      <w:pPr>
        <w:pStyle w:val="19"/>
        <w:numPr>
          <w:ilvl w:val="1"/>
          <w:numId w:val="0"/>
        </w:numPr>
        <w:spacing w:before="240" w:after="240"/>
        <w:rPr>
          <w:rFonts w:hint="eastAsia" w:ascii="黑体" w:hAnsi="Times New Roman" w:eastAsia="黑体" w:cs="Times New Roman"/>
          <w:szCs w:val="20"/>
        </w:rPr>
      </w:pPr>
      <w:bookmarkStart w:id="12" w:name="_Toc31380"/>
      <w:r>
        <w:rPr>
          <w:rFonts w:hint="eastAsia" w:ascii="黑体" w:hAnsi="Times New Roman" w:eastAsia="黑体" w:cs="Times New Roman"/>
          <w:szCs w:val="20"/>
        </w:rPr>
        <w:t>7 检验规则</w:t>
      </w:r>
      <w:bookmarkEnd w:id="12"/>
    </w:p>
    <w:p w14:paraId="3C83E0AD">
      <w:pPr>
        <w:pStyle w:val="18"/>
        <w:numPr>
          <w:ilvl w:val="2"/>
          <w:numId w:val="0"/>
        </w:numPr>
        <w:spacing w:before="120" w:after="120"/>
      </w:pPr>
      <w:bookmarkStart w:id="13" w:name="_Toc176199762"/>
      <w:r>
        <w:rPr>
          <w:rFonts w:hint="eastAsia"/>
          <w:color w:val="000000"/>
          <w14:scene3d>
            <w14:lightRig w14:rig="threePt" w14:dir="t">
              <w14:rot w14:lat="0" w14:lon="0" w14:rev="0"/>
            </w14:lightRig>
          </w14:scene3d>
        </w:rPr>
        <w:t>7.1　</w:t>
      </w:r>
      <w:bookmarkEnd w:id="13"/>
      <w:r>
        <w:rPr>
          <w:rFonts w:hint="eastAsia"/>
        </w:rPr>
        <w:t>抽样方案与抽样方法</w:t>
      </w:r>
    </w:p>
    <w:p w14:paraId="2A4F2138">
      <w:pPr>
        <w:pStyle w:val="17"/>
        <w:ind w:firstLine="420"/>
      </w:pPr>
      <w:r>
        <w:rPr>
          <w:rFonts w:hint="eastAsia"/>
        </w:rPr>
        <w:t>按GB/T 37625的规定执行。</w:t>
      </w:r>
    </w:p>
    <w:p w14:paraId="38BA290D">
      <w:pPr>
        <w:pStyle w:val="18"/>
        <w:numPr>
          <w:ilvl w:val="2"/>
          <w:numId w:val="0"/>
        </w:numPr>
        <w:spacing w:before="120" w:after="120"/>
      </w:pPr>
      <w:bookmarkStart w:id="14" w:name="_Toc176199763"/>
      <w:r>
        <w:rPr>
          <w:rFonts w:hint="eastAsia"/>
          <w:color w:val="000000"/>
          <w14:scene3d>
            <w14:lightRig w14:rig="threePt" w14:dir="t">
              <w14:rot w14:lat="0" w14:lon="0" w14:rev="0"/>
            </w14:lightRig>
          </w14:scene3d>
        </w:rPr>
        <w:t>7.2　</w:t>
      </w:r>
      <w:r>
        <w:rPr>
          <w:rFonts w:hint="eastAsia"/>
        </w:rPr>
        <w:t>组批与抽样</w:t>
      </w:r>
      <w:bookmarkEnd w:id="14"/>
    </w:p>
    <w:p w14:paraId="58C5AB0B">
      <w:pPr>
        <w:pStyle w:val="17"/>
        <w:ind w:firstLine="420"/>
      </w:pPr>
      <w:bookmarkStart w:id="15" w:name="_Hlk178428457"/>
      <w:r>
        <w:rPr>
          <w:rFonts w:hint="eastAsia"/>
        </w:rPr>
        <w:t>以同一批原料，同种工艺，连续生产的产品为同一批次。</w:t>
      </w:r>
      <w:bookmarkEnd w:id="15"/>
    </w:p>
    <w:p w14:paraId="323F9E3D">
      <w:pPr>
        <w:pStyle w:val="18"/>
        <w:numPr>
          <w:ilvl w:val="2"/>
          <w:numId w:val="0"/>
        </w:numPr>
        <w:spacing w:before="120" w:after="120"/>
      </w:pPr>
      <w:bookmarkStart w:id="16" w:name="_Toc176199764"/>
      <w:bookmarkStart w:id="17" w:name="_Hlk178428467"/>
      <w:r>
        <w:rPr>
          <w:rFonts w:hint="eastAsia"/>
          <w:color w:val="000000"/>
          <w14:scene3d>
            <w14:lightRig w14:rig="threePt" w14:dir="t">
              <w14:rot w14:lat="0" w14:lon="0" w14:rev="0"/>
            </w14:lightRig>
          </w14:scene3d>
        </w:rPr>
        <w:t>7.3　</w:t>
      </w:r>
      <w:r>
        <w:rPr>
          <w:rFonts w:hint="eastAsia"/>
        </w:rPr>
        <w:t>出厂规则</w:t>
      </w:r>
      <w:bookmarkEnd w:id="16"/>
    </w:p>
    <w:p w14:paraId="4DA64A73">
      <w:pPr>
        <w:spacing w:before="120" w:after="120" w:line="360" w:lineRule="auto"/>
        <w:jc w:val="left"/>
        <w:rPr>
          <w:rFonts w:hint="eastAsia" w:ascii="宋体" w:hAnsi="宋体" w:eastAsia="宋体" w:cs="宋体"/>
          <w:szCs w:val="21"/>
        </w:rPr>
      </w:pPr>
      <w:r>
        <w:rPr>
          <w:rFonts w:hint="eastAsia" w:ascii="黑体" w:hAnsi="Times New Roman" w:eastAsia="黑体" w:cs="Times New Roman"/>
          <w:color w:val="000000"/>
          <w:kern w:val="0"/>
          <w:szCs w:val="20"/>
          <w14:scene3d>
            <w14:lightRig w14:rig="threePt" w14:dir="t">
              <w14:rot w14:lat="0" w14:lon="0" w14:rev="0"/>
            </w14:lightRig>
          </w14:scene3d>
        </w:rPr>
        <w:t>7.3.1</w:t>
      </w:r>
      <w:r>
        <w:rPr>
          <w:rFonts w:hint="eastAsia" w:ascii="宋体" w:hAnsi="宋体" w:eastAsia="宋体" w:cs="宋体"/>
          <w:szCs w:val="21"/>
        </w:rPr>
        <w:t>　出厂检验项目：外观、水分、灰分、颗粒度、纯度、菌落总数、霉菌和酵母菌总数。</w:t>
      </w:r>
    </w:p>
    <w:p w14:paraId="7F82F1C5">
      <w:pPr>
        <w:spacing w:before="120" w:after="120" w:line="360" w:lineRule="auto"/>
        <w:jc w:val="left"/>
        <w:rPr>
          <w:rFonts w:hint="eastAsia" w:ascii="宋体" w:hAnsi="宋体" w:eastAsia="宋体" w:cs="宋体"/>
          <w:szCs w:val="21"/>
        </w:rPr>
      </w:pPr>
      <w:r>
        <w:rPr>
          <w:rFonts w:hint="eastAsia" w:ascii="黑体" w:hAnsi="Times New Roman" w:eastAsia="黑体" w:cs="Times New Roman"/>
          <w:color w:val="000000"/>
          <w:kern w:val="0"/>
          <w:szCs w:val="20"/>
          <w14:scene3d>
            <w14:lightRig w14:rig="threePt" w14:dir="t">
              <w14:rot w14:lat="0" w14:lon="0" w14:rev="0"/>
            </w14:lightRig>
          </w14:scene3d>
        </w:rPr>
        <w:t>7.3.2</w:t>
      </w:r>
      <w:r>
        <w:rPr>
          <w:rFonts w:hint="eastAsia" w:ascii="宋体" w:hAnsi="宋体" w:eastAsia="宋体" w:cs="宋体"/>
          <w:szCs w:val="21"/>
        </w:rPr>
        <w:t>　产品应批检验合格方可出厂。</w:t>
      </w:r>
    </w:p>
    <w:p w14:paraId="5D820428">
      <w:pPr>
        <w:pStyle w:val="18"/>
        <w:numPr>
          <w:ilvl w:val="2"/>
          <w:numId w:val="0"/>
        </w:numPr>
        <w:spacing w:before="120" w:after="120"/>
      </w:pPr>
      <w:bookmarkStart w:id="18" w:name="_Toc176199765"/>
      <w:r>
        <w:rPr>
          <w:rFonts w:hint="eastAsia"/>
          <w:color w:val="000000"/>
          <w14:scene3d>
            <w14:lightRig w14:rig="threePt" w14:dir="t">
              <w14:rot w14:lat="0" w14:lon="0" w14:rev="0"/>
            </w14:lightRig>
          </w14:scene3d>
        </w:rPr>
        <w:t>7.4　</w:t>
      </w:r>
      <w:r>
        <w:rPr>
          <w:rFonts w:hint="eastAsia"/>
        </w:rPr>
        <w:t>型式检验</w:t>
      </w:r>
      <w:bookmarkEnd w:id="18"/>
    </w:p>
    <w:p w14:paraId="5FE65A75">
      <w:pPr>
        <w:spacing w:before="120" w:after="120" w:line="360" w:lineRule="auto"/>
        <w:jc w:val="left"/>
        <w:rPr>
          <w:rFonts w:hint="eastAsia" w:ascii="宋体" w:hAnsi="宋体" w:eastAsia="宋体" w:cs="宋体"/>
          <w:szCs w:val="21"/>
        </w:rPr>
      </w:pPr>
      <w:r>
        <w:rPr>
          <w:rFonts w:hint="eastAsia" w:ascii="黑体" w:hAnsi="黑体" w:eastAsia="黑体" w:cs="黑体"/>
          <w:szCs w:val="21"/>
        </w:rPr>
        <w:t>7.4.1</w:t>
      </w:r>
      <w:r>
        <w:rPr>
          <w:rFonts w:hint="eastAsia" w:ascii="宋体" w:hAnsi="宋体" w:eastAsia="宋体" w:cs="宋体"/>
          <w:szCs w:val="21"/>
        </w:rPr>
        <w:t>　型式检验的项目为本文件中规定的全部项目。</w:t>
      </w:r>
    </w:p>
    <w:p w14:paraId="232911DF">
      <w:pPr>
        <w:spacing w:before="120" w:after="120" w:line="360" w:lineRule="auto"/>
        <w:jc w:val="left"/>
        <w:rPr>
          <w:rFonts w:hint="eastAsia" w:ascii="宋体" w:hAnsi="宋体" w:eastAsia="宋体" w:cs="宋体"/>
          <w:szCs w:val="21"/>
        </w:rPr>
      </w:pPr>
      <w:r>
        <w:rPr>
          <w:rFonts w:hint="eastAsia" w:ascii="黑体" w:hAnsi="黑体" w:eastAsia="黑体" w:cs="黑体"/>
          <w:szCs w:val="21"/>
        </w:rPr>
        <w:t>7.4.2</w:t>
      </w:r>
      <w:r>
        <w:rPr>
          <w:rFonts w:hint="eastAsia" w:ascii="宋体" w:hAnsi="宋体" w:eastAsia="宋体" w:cs="宋体"/>
          <w:szCs w:val="21"/>
        </w:rPr>
        <w:t>　型式检验每年不应少于1次。有下列情况之一时，也应进行型式检验。</w:t>
      </w:r>
    </w:p>
    <w:p w14:paraId="799F69E8">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a）当原料、工艺和设备发生重大改变时；</w:t>
      </w:r>
    </w:p>
    <w:p w14:paraId="73AED793">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b）产品首次投产或停产6个月以上恢复生产时；</w:t>
      </w:r>
    </w:p>
    <w:p w14:paraId="15910AA1">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c）出厂检验与上一次型式检验结果有较大差异时；</w:t>
      </w:r>
    </w:p>
    <w:p w14:paraId="78518F70">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d）生产场所改变时；</w:t>
      </w:r>
    </w:p>
    <w:p w14:paraId="6BF8AA6E">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e）主管部门提出进行型式检验要求时。</w:t>
      </w:r>
    </w:p>
    <w:p w14:paraId="3DAF29C9">
      <w:pPr>
        <w:pStyle w:val="18"/>
        <w:numPr>
          <w:ilvl w:val="2"/>
          <w:numId w:val="0"/>
        </w:numPr>
        <w:spacing w:before="120" w:after="120"/>
      </w:pPr>
      <w:bookmarkStart w:id="19" w:name="_Toc176199766"/>
      <w:r>
        <w:rPr>
          <w:rFonts w:hint="eastAsia"/>
          <w:color w:val="000000"/>
          <w14:scene3d>
            <w14:lightRig w14:rig="threePt" w14:dir="t">
              <w14:rot w14:lat="0" w14:lon="0" w14:rev="0"/>
            </w14:lightRig>
          </w14:scene3d>
        </w:rPr>
        <w:t>7.5　</w:t>
      </w:r>
      <w:r>
        <w:rPr>
          <w:rFonts w:hint="eastAsia"/>
        </w:rPr>
        <w:t>判定规则</w:t>
      </w:r>
      <w:bookmarkEnd w:id="19"/>
    </w:p>
    <w:p w14:paraId="03E2C62F">
      <w:pPr>
        <w:spacing w:before="120" w:after="120" w:line="360" w:lineRule="auto"/>
        <w:jc w:val="left"/>
        <w:rPr>
          <w:rFonts w:hint="eastAsia" w:ascii="宋体" w:hAnsi="宋体" w:eastAsia="宋体" w:cs="宋体"/>
          <w:szCs w:val="21"/>
        </w:rPr>
      </w:pPr>
      <w:r>
        <w:rPr>
          <w:rFonts w:hint="eastAsia" w:ascii="黑体" w:hAnsi="黑体" w:eastAsia="黑体" w:cs="黑体"/>
          <w:szCs w:val="21"/>
        </w:rPr>
        <w:t xml:space="preserve">7.5.1 </w:t>
      </w:r>
      <w:r>
        <w:rPr>
          <w:rFonts w:hint="eastAsia" w:ascii="宋体" w:hAnsi="宋体" w:eastAsia="宋体" w:cs="宋体"/>
          <w:szCs w:val="21"/>
        </w:rPr>
        <w:t>检验结果的判定按GB/T 8170数值修约值比较法进行。</w:t>
      </w:r>
    </w:p>
    <w:p w14:paraId="2DD9BB76">
      <w:pPr>
        <w:spacing w:before="120" w:after="120" w:line="360" w:lineRule="auto"/>
        <w:jc w:val="left"/>
        <w:rPr>
          <w:rFonts w:hint="eastAsia" w:ascii="宋体" w:hAnsi="宋体" w:eastAsia="宋体" w:cs="宋体"/>
          <w:szCs w:val="21"/>
        </w:rPr>
      </w:pPr>
      <w:r>
        <w:rPr>
          <w:rFonts w:hint="eastAsia" w:ascii="黑体" w:hAnsi="黑体" w:eastAsia="黑体" w:cs="黑体"/>
          <w:szCs w:val="21"/>
        </w:rPr>
        <w:t xml:space="preserve">7.5.2 </w:t>
      </w:r>
      <w:r>
        <w:rPr>
          <w:rFonts w:hint="eastAsia" w:ascii="宋体" w:hAnsi="宋体" w:eastAsia="宋体" w:cs="宋体"/>
          <w:szCs w:val="21"/>
        </w:rPr>
        <w:t>所检项目全部符合本文件规定，判定为合格品。</w:t>
      </w:r>
    </w:p>
    <w:p w14:paraId="14F97529">
      <w:pPr>
        <w:spacing w:before="120" w:after="120" w:line="360" w:lineRule="auto"/>
        <w:jc w:val="left"/>
        <w:rPr>
          <w:rFonts w:hint="eastAsia" w:ascii="宋体" w:hAnsi="宋体" w:eastAsia="宋体" w:cs="宋体"/>
          <w:szCs w:val="21"/>
        </w:rPr>
      </w:pPr>
      <w:r>
        <w:rPr>
          <w:rFonts w:hint="eastAsia" w:ascii="黑体" w:hAnsi="黑体" w:eastAsia="黑体" w:cs="黑体"/>
          <w:szCs w:val="21"/>
        </w:rPr>
        <w:t xml:space="preserve">7.5.3 </w:t>
      </w:r>
      <w:r>
        <w:rPr>
          <w:rFonts w:hint="eastAsia" w:ascii="宋体" w:hAnsi="宋体" w:eastAsia="宋体" w:cs="宋体"/>
          <w:szCs w:val="21"/>
        </w:rPr>
        <w:t>检验结果若有1项或1项以上不符合本文件规定，应重新从原批次留样中取样进行复验，复验结果仍有1项或1项以上指标不符合本文件规定，该批产品判定为不合格。</w:t>
      </w:r>
    </w:p>
    <w:p w14:paraId="411070D3">
      <w:pPr>
        <w:pStyle w:val="19"/>
        <w:numPr>
          <w:ilvl w:val="1"/>
          <w:numId w:val="0"/>
        </w:numPr>
        <w:spacing w:before="240" w:after="240"/>
      </w:pPr>
      <w:bookmarkStart w:id="20" w:name="_Toc4027"/>
      <w:bookmarkStart w:id="21" w:name="_Toc176199780"/>
      <w:bookmarkStart w:id="22" w:name="_Toc176199767"/>
      <w:r>
        <w:rPr>
          <w:rFonts w:hint="eastAsia"/>
        </w:rPr>
        <w:t>8　标志、包装、运输、储存和保质期</w:t>
      </w:r>
      <w:bookmarkEnd w:id="20"/>
      <w:bookmarkEnd w:id="21"/>
      <w:bookmarkEnd w:id="22"/>
    </w:p>
    <w:p w14:paraId="2EC51AB5">
      <w:pPr>
        <w:pStyle w:val="18"/>
        <w:numPr>
          <w:ilvl w:val="2"/>
          <w:numId w:val="0"/>
        </w:numPr>
        <w:spacing w:before="120" w:after="120"/>
      </w:pPr>
      <w:bookmarkStart w:id="23" w:name="_Toc176199768"/>
      <w:r>
        <w:rPr>
          <w:rFonts w:hint="eastAsia"/>
          <w:color w:val="000000"/>
          <w14:scene3d>
            <w14:lightRig w14:rig="threePt" w14:dir="t">
              <w14:rot w14:lat="0" w14:lon="0" w14:rev="0"/>
            </w14:lightRig>
          </w14:scene3d>
        </w:rPr>
        <w:t>8.1　</w:t>
      </w:r>
      <w:r>
        <w:rPr>
          <w:rFonts w:hint="eastAsia"/>
        </w:rPr>
        <w:t>标志</w:t>
      </w:r>
      <w:bookmarkEnd w:id="23"/>
    </w:p>
    <w:p w14:paraId="5A9E533D">
      <w:pPr>
        <w:pStyle w:val="17"/>
        <w:ind w:firstLine="420"/>
      </w:pPr>
      <w:r>
        <w:rPr>
          <w:rFonts w:hint="eastAsia"/>
        </w:rPr>
        <w:t>产品销售包装图示标志应按GB/T 191执行。</w:t>
      </w:r>
    </w:p>
    <w:p w14:paraId="06EC41ED">
      <w:pPr>
        <w:pStyle w:val="18"/>
        <w:numPr>
          <w:ilvl w:val="2"/>
          <w:numId w:val="0"/>
        </w:numPr>
        <w:spacing w:before="120" w:after="120"/>
      </w:pPr>
      <w:bookmarkStart w:id="24" w:name="_Toc176199769"/>
      <w:r>
        <w:rPr>
          <w:rFonts w:hint="eastAsia"/>
          <w:color w:val="000000"/>
          <w14:scene3d>
            <w14:lightRig w14:rig="threePt" w14:dir="t">
              <w14:rot w14:lat="0" w14:lon="0" w14:rev="0"/>
            </w14:lightRig>
          </w14:scene3d>
        </w:rPr>
        <w:t>8.2　</w:t>
      </w:r>
      <w:r>
        <w:rPr>
          <w:rFonts w:hint="eastAsia"/>
        </w:rPr>
        <w:t>包装</w:t>
      </w:r>
      <w:bookmarkEnd w:id="24"/>
    </w:p>
    <w:p w14:paraId="30A9D0C1">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直接接触化妆品的包装材料应当安全，不得与产品发生化学反应，不得迁移或释放对人体产生危害的有毒有害物质。产品装入适当的包装容器后应密封无泄漏。每件包装量可根据用户的要求而定。</w:t>
      </w:r>
    </w:p>
    <w:p w14:paraId="7DBA43AB">
      <w:pPr>
        <w:pStyle w:val="18"/>
        <w:numPr>
          <w:ilvl w:val="2"/>
          <w:numId w:val="0"/>
        </w:numPr>
        <w:spacing w:before="120" w:after="120"/>
      </w:pPr>
      <w:bookmarkStart w:id="25" w:name="_Toc176199770"/>
      <w:r>
        <w:rPr>
          <w:rFonts w:hint="eastAsia"/>
          <w:color w:val="000000"/>
          <w14:scene3d>
            <w14:lightRig w14:rig="threePt" w14:dir="t">
              <w14:rot w14:lat="0" w14:lon="0" w14:rev="0"/>
            </w14:lightRig>
          </w14:scene3d>
        </w:rPr>
        <w:t>8.3　</w:t>
      </w:r>
      <w:r>
        <w:rPr>
          <w:rFonts w:hint="eastAsia"/>
        </w:rPr>
        <w:t>运输</w:t>
      </w:r>
      <w:bookmarkEnd w:id="25"/>
    </w:p>
    <w:p w14:paraId="6DC2E2DE">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运输工具应清洁、卫生、干燥，运输时应防火、防热、防雨淋、防受潮，在运输过程中应轻装轻卸，严防挤压碰撞，不应与有毒、有害、有异味、有放射性的物质混运。</w:t>
      </w:r>
    </w:p>
    <w:p w14:paraId="68864047">
      <w:pPr>
        <w:pStyle w:val="18"/>
        <w:numPr>
          <w:ilvl w:val="2"/>
          <w:numId w:val="0"/>
        </w:numPr>
        <w:spacing w:before="120" w:after="120"/>
      </w:pPr>
      <w:bookmarkStart w:id="26" w:name="_Toc176199771"/>
      <w:r>
        <w:rPr>
          <w:rFonts w:hint="eastAsia"/>
          <w:color w:val="000000"/>
          <w14:scene3d>
            <w14:lightRig w14:rig="threePt" w14:dir="t">
              <w14:rot w14:lat="0" w14:lon="0" w14:rev="0"/>
            </w14:lightRig>
          </w14:scene3d>
        </w:rPr>
        <w:t>8.4　</w:t>
      </w:r>
      <w:r>
        <w:rPr>
          <w:rFonts w:hint="eastAsia"/>
        </w:rPr>
        <w:t>储存</w:t>
      </w:r>
      <w:bookmarkEnd w:id="26"/>
    </w:p>
    <w:p w14:paraId="015CD7B6">
      <w:pPr>
        <w:spacing w:before="120" w:after="120" w:line="360" w:lineRule="auto"/>
        <w:ind w:firstLine="480"/>
        <w:jc w:val="left"/>
        <w:rPr>
          <w:rFonts w:hint="eastAsia" w:ascii="宋体" w:hAnsi="宋体" w:eastAsia="宋体" w:cs="宋体"/>
          <w:szCs w:val="21"/>
        </w:rPr>
      </w:pPr>
      <w:r>
        <w:rPr>
          <w:rFonts w:hint="eastAsia" w:ascii="宋体" w:hAnsi="宋体" w:eastAsia="宋体" w:cs="宋体"/>
          <w:szCs w:val="21"/>
        </w:rPr>
        <w:t>产品贮存应保持清洁卫生、干燥通风、隔热、阴凉。产品应距地面不少于0.1 m、距墙壁不少于0.5 m。避免与有毒、有害、易腐、易污染等物品一起堆放。</w:t>
      </w:r>
    </w:p>
    <w:p w14:paraId="61CC1484">
      <w:pPr>
        <w:pStyle w:val="18"/>
        <w:numPr>
          <w:ilvl w:val="2"/>
          <w:numId w:val="0"/>
        </w:numPr>
        <w:spacing w:before="120" w:after="120"/>
      </w:pPr>
      <w:bookmarkStart w:id="27" w:name="_Toc176199772"/>
      <w:r>
        <w:rPr>
          <w:rFonts w:hint="eastAsia"/>
          <w:color w:val="000000"/>
          <w14:scene3d>
            <w14:lightRig w14:rig="threePt" w14:dir="t">
              <w14:rot w14:lat="0" w14:lon="0" w14:rev="0"/>
            </w14:lightRig>
          </w14:scene3d>
        </w:rPr>
        <w:t>8.5　</w:t>
      </w:r>
      <w:r>
        <w:rPr>
          <w:rFonts w:hint="eastAsia"/>
        </w:rPr>
        <w:t>保质期</w:t>
      </w:r>
      <w:bookmarkEnd w:id="27"/>
    </w:p>
    <w:p w14:paraId="6D3BFD05">
      <w:pPr>
        <w:spacing w:before="120" w:after="120" w:line="360" w:lineRule="auto"/>
        <w:ind w:firstLine="480"/>
        <w:jc w:val="left"/>
        <w:rPr>
          <w:rFonts w:hint="eastAsia" w:ascii="宋体" w:hAnsi="宋体" w:eastAsia="宋体" w:cs="宋体"/>
          <w:szCs w:val="21"/>
        </w:rPr>
        <w:sectPr>
          <w:footerReference r:id="rId8" w:type="default"/>
          <w:pgSz w:w="11905" w:h="16840" w:orient="landscape"/>
          <w:pgMar w:top="1440" w:right="1800" w:bottom="1440" w:left="1800" w:header="720" w:footer="720" w:gutter="0"/>
          <w:cols w:space="720" w:num="1"/>
        </w:sectPr>
      </w:pPr>
      <w:r>
        <w:rPr>
          <w:rFonts w:hint="eastAsia" w:ascii="宋体" w:hAnsi="宋体" w:eastAsia="宋体" w:cs="宋体"/>
          <w:szCs w:val="21"/>
        </w:rPr>
        <w:t>在符合规定的运输和贮存条件下，产品在包装完整和未经启封的情况下，自生产之日起，保质期按销售包装标注执行。</w:t>
      </w:r>
      <w:bookmarkEnd w:id="17"/>
    </w:p>
    <w:p w14:paraId="01135B8B">
      <w:pPr>
        <w:pStyle w:val="29"/>
        <w:numPr>
          <w:ilvl w:val="255"/>
          <w:numId w:val="0"/>
        </w:numPr>
        <w:jc w:val="both"/>
        <w:rPr>
          <w:rFonts w:hint="eastAsia"/>
        </w:rPr>
      </w:pPr>
    </w:p>
    <w:p w14:paraId="5EAB916D">
      <w:pPr>
        <w:pStyle w:val="30"/>
      </w:pPr>
    </w:p>
    <w:p w14:paraId="47A4EB02">
      <w:pPr>
        <w:jc w:val="center"/>
        <w:rPr>
          <w:rFonts w:hint="eastAsia" w:ascii="黑体" w:hAnsi="黑体" w:eastAsia="黑体" w:cs="黑体"/>
        </w:rPr>
      </w:pPr>
      <w:r>
        <w:rPr>
          <w:rFonts w:hint="eastAsia" w:ascii="黑体" w:hAnsi="黑体" w:eastAsia="黑体" w:cs="黑体"/>
        </w:rPr>
        <w:t>参 考 文 献</w:t>
      </w:r>
    </w:p>
    <w:p w14:paraId="1CD8821F">
      <w:pPr>
        <w:pStyle w:val="12"/>
        <w:ind w:firstLine="0" w:firstLineChars="0"/>
        <w:rPr>
          <w:rFonts w:hint="eastAsia" w:ascii="宋体" w:hAnsi="宋体" w:cs="宋体"/>
          <w:kern w:val="0"/>
          <w:sz w:val="21"/>
          <w:szCs w:val="21"/>
          <w:lang w:val="en-US"/>
        </w:rPr>
      </w:pPr>
      <w:r>
        <w:rPr>
          <w:rFonts w:hint="eastAsia" w:ascii="宋体" w:hAnsi="宋体" w:cs="宋体"/>
          <w:kern w:val="0"/>
          <w:sz w:val="21"/>
          <w:szCs w:val="21"/>
          <w:lang w:val="en-US"/>
        </w:rPr>
        <w:t>[1] 《化妆品安全技术规范》（2015年版）（国家食品药品监督管理总局公告 2015 年第 268 号）</w:t>
      </w:r>
    </w:p>
    <w:p w14:paraId="3904A34C">
      <w:pPr>
        <w:pStyle w:val="14"/>
        <w:framePr w:w="3105" w:hSpace="181" w:vSpace="181" w:wrap="around" w:vAnchor="text" w:hAnchor="page" w:x="4529" w:y="2094"/>
        <w:tabs>
          <w:tab w:val="center" w:pos="4201"/>
          <w:tab w:val="right" w:leader="dot" w:pos="9298"/>
        </w:tabs>
        <w:ind w:firstLine="420"/>
        <w:jc w:val="center"/>
        <w:rPr>
          <w:rFonts w:hint="eastAsia" w:ascii="黑体" w:hAnsi="黑体" w:eastAsia="黑体" w:cs="黑体"/>
        </w:rPr>
      </w:pPr>
    </w:p>
    <w:p w14:paraId="01F971C1">
      <w:pPr>
        <w:framePr w:w="3105" w:hSpace="181" w:vSpace="181" w:wrap="around" w:vAnchor="text" w:hAnchor="page" w:x="4529" w:y="2094"/>
        <w:jc w:val="center"/>
        <w:rPr>
          <w:rFonts w:hint="eastAsia" w:ascii="黑体" w:hAnsi="黑体" w:eastAsia="黑体" w:cs="黑体"/>
          <w:kern w:val="0"/>
          <w:szCs w:val="20"/>
        </w:rPr>
      </w:pPr>
      <w:r>
        <w:rPr>
          <w:rFonts w:hint="eastAsia" w:ascii="黑体" w:hAnsi="黑体" w:eastAsia="黑体" w:cs="黑体"/>
        </w:rPr>
        <w:t>________________________</w:t>
      </w:r>
    </w:p>
    <w:p w14:paraId="598DB61B">
      <w:pPr>
        <w:pStyle w:val="12"/>
        <w:ind w:firstLine="0" w:firstLineChars="0"/>
        <w:rPr>
          <w:rFonts w:hint="eastAsia" w:ascii="宋体" w:hAnsi="宋体" w:cs="宋体"/>
          <w:kern w:val="0"/>
          <w:sz w:val="21"/>
          <w:szCs w:val="21"/>
          <w:lang w:val="en-US"/>
        </w:rPr>
      </w:pPr>
      <w:r>
        <w:rPr>
          <w:rFonts w:hint="eastAsia" w:ascii="宋体" w:hAnsi="宋体" w:cs="宋体"/>
          <w:kern w:val="0"/>
          <w:sz w:val="21"/>
          <w:szCs w:val="21"/>
          <w:lang w:val="en-US"/>
        </w:rPr>
        <w:t>[2]《中华人民共和国药典》</w:t>
      </w:r>
    </w:p>
    <w:p w14:paraId="2C8FFE1B"/>
    <w:p w14:paraId="2B14298D"/>
    <w:p w14:paraId="3F8AD499"/>
    <w:sectPr>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94572">
    <w:pPr>
      <w:pStyle w:val="5"/>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FA12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2CBFA12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69FB">
    <w:pPr>
      <w:pStyle w:val="5"/>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4760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6D4760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0BD21">
    <w:pPr>
      <w:pStyle w:val="5"/>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82FAC">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3682FAC">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3074">
    <w:pPr>
      <w:jc w:val="left"/>
    </w:pPr>
    <w:r>
      <w:rPr>
        <w:rFonts w:hint="eastAsia" w:ascii="黑体" w:hAnsi="黑体" w:eastAsia="黑体" w:cs="黑体"/>
      </w:rPr>
      <w:t>T/CAFFCI —2025</w:t>
    </w:r>
  </w:p>
  <w:p w14:paraId="3B19A337">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C080">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margin-left:0pt;margin-top:0pt;height:50pt;width:50pt;visibility:hidden;z-index:251659264;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IVPm0QAAAAUBAAAPAAAAAAAAAAEAIAAAACIAAABkcnMvZG93bnJldi54bWxQ&#10;SwECFAAUAAAACACHTuJAoEq8GP4BAAAOBAAADgAAAAAAAAABACAAAAAgAQAAZHJzL2Uyb0RvYy54&#10;bWxQSwUGAAAAAAYABgBZAQAAkAUAAAAA&#10;" adj="10800">
              <v:fill on="f" focussize="0,0"/>
              <v:stroke on="f"/>
              <v:imagedata o:title=""/>
              <o:lock v:ext="edit" selection="t" aspectratio="f"/>
              <v:textbox style="mso-fit-shape-to-text:t;"/>
            </v:shape>
          </w:pict>
        </mc:Fallback>
      </mc:AlternateContent>
    </w:r>
    <w:r>
      <w:pict>
        <v:shape id="PowerPlusWaterMarkObject3" o:spid="_x0000_s1026" o:spt="136" type="#_x0000_t136" style="position:absolute;left:0pt;height:207.5pt;width:415pt;mso-position-horizontal:center;mso-position-horizontal-relative:margin;mso-position-vertical:center;mso-position-vertical-relative:margin;z-index:-251654144;mso-width-relative:page;mso-height-relative:page;" fillcolor="#000000" filled="t" stroked="f" coordsize="21600,21600">
          <v:path/>
          <v:fill on="t" focussize="0,0"/>
          <v:stroke on="f"/>
          <v:imagedata o:title=""/>
          <o:lock v:ext="edit" text="f"/>
          <v:textpath on="t" fitshape="t" fitpath="t" trim="f" xscale="f" string=" 凡东 0382"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B7EBF">
    <w: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margin-left:0pt;margin-top:0pt;height:50pt;width:50pt;visibility:hidden;z-index:251660288;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IVPm0QAAAAUBAAAPAAAAAAAAAAEAIAAAACIAAABkcnMvZG93bnJldi54bWxQ&#10;SwECFAAUAAAACACHTuJAMoa6vv4BAAAOBAAADgAAAAAAAAABACAAAAAgAQAAZHJzL2Uyb0RvYy54&#10;bWxQSwUGAAAAAAYABgBZAQAAkAUAAAAA&#10;" adj="10800">
              <v:fill on="f" focussize="0,0"/>
              <v:stroke on="f"/>
              <v:imagedata o:title=""/>
              <o:lock v:ext="edit" selection="t" aspectratio="f"/>
              <v:textbox style="mso-fit-shape-to-text:t;"/>
            </v:shape>
          </w:pict>
        </mc:Fallback>
      </mc:AlternateContent>
    </w:r>
    <w:r>
      <w:pict>
        <v:shape id="PowerPlusWaterMarkObject2" o:spid="_x0000_s1025" o:spt="136" type="#_x0000_t136" style="position:absolute;left:0pt;height:207.5pt;width:415pt;mso-position-horizontal:center;mso-position-horizontal-relative:margin;mso-position-vertical:center;mso-position-vertical-relative:margin;z-index:-251655168;mso-width-relative:page;mso-height-relative:page;" fillcolor="#000000" filled="t" stroked="f" coordsize="21600,21600">
          <v:path/>
          <v:fill on="t" focussize="0,0"/>
          <v:stroke on="f"/>
          <v:imagedata o:title=""/>
          <o:lock v:ext="edit" text="f"/>
          <v:textpath on="t" fitshape="t" fitpath="t" trim="f" xscale="f" string=" 凡东 0382"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45B04"/>
    <w:multiLevelType w:val="multilevel"/>
    <w:tmpl w:val="DEF45B04"/>
    <w:lvl w:ilvl="0" w:tentative="0">
      <w:start w:val="1"/>
      <w:numFmt w:val="none"/>
      <w:pStyle w:val="15"/>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5"/>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48802D1C"/>
    <w:multiLevelType w:val="multilevel"/>
    <w:tmpl w:val="48802D1C"/>
    <w:lvl w:ilvl="0" w:tentative="0">
      <w:start w:val="1"/>
      <w:numFmt w:val="upperLetter"/>
      <w:pStyle w:val="29"/>
      <w:lvlText w:val="%1"/>
      <w:lvlJc w:val="left"/>
      <w:pPr>
        <w:ind w:left="420" w:hanging="420"/>
      </w:pPr>
      <w:rPr>
        <w:rFonts w:hint="eastAsia"/>
      </w:rPr>
    </w:lvl>
    <w:lvl w:ilvl="1" w:tentative="0">
      <w:start w:val="1"/>
      <w:numFmt w:val="decimal"/>
      <w:pStyle w:val="3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603797C"/>
    <w:multiLevelType w:val="multilevel"/>
    <w:tmpl w:val="5603797C"/>
    <w:lvl w:ilvl="0" w:tentative="0">
      <w:start w:val="1"/>
      <w:numFmt w:val="upperLetter"/>
      <w:pStyle w:val="30"/>
      <w:suff w:val="space"/>
      <w:lvlText w:val="%1"/>
      <w:lvlJc w:val="left"/>
      <w:pPr>
        <w:ind w:left="425" w:hanging="425"/>
      </w:pPr>
      <w:rPr>
        <w:rFonts w:hint="eastAsia"/>
      </w:rPr>
    </w:lvl>
    <w:lvl w:ilvl="1" w:tentative="0">
      <w:start w:val="1"/>
      <w:numFmt w:val="decimal"/>
      <w:pStyle w:val="3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57D3FBC"/>
    <w:multiLevelType w:val="multilevel"/>
    <w:tmpl w:val="657D3FBC"/>
    <w:lvl w:ilvl="0" w:tentative="0">
      <w:start w:val="1"/>
      <w:numFmt w:val="upperLetter"/>
      <w:pStyle w:val="20"/>
      <w:suff w:val="nothing"/>
      <w:lvlText w:val="附录%1"/>
      <w:lvlJc w:val="left"/>
      <w:pPr>
        <w:ind w:left="0" w:firstLine="0"/>
      </w:pPr>
      <w:rPr>
        <w:rFonts w:hint="eastAsia"/>
        <w:spacing w:val="100"/>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pStyle w:val="22"/>
      <w:suff w:val="nothing"/>
      <w:lvlText w:val="%1.%2.%3　"/>
      <w:lvlJc w:val="left"/>
      <w:pPr>
        <w:ind w:left="426" w:firstLine="0"/>
      </w:pPr>
      <w:rPr>
        <w:rFonts w:hint="eastAsia" w:ascii="黑体" w:eastAsia="黑体"/>
        <w:b w:val="0"/>
        <w:i w:val="0"/>
        <w:sz w:val="21"/>
      </w:rPr>
    </w:lvl>
    <w:lvl w:ilvl="3" w:tentative="0">
      <w:start w:val="1"/>
      <w:numFmt w:val="decimal"/>
      <w:pStyle w:val="24"/>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9"/>
      <w:suff w:val="nothing"/>
      <w:lvlText w:val="%1%2　"/>
      <w:lvlJc w:val="left"/>
      <w:pPr>
        <w:ind w:left="0" w:firstLine="0"/>
      </w:pPr>
      <w:rPr>
        <w:rFonts w:hint="eastAsia" w:ascii="黑体" w:eastAsia="黑体"/>
        <w:b w:val="0"/>
        <w:i w:val="0"/>
        <w:sz w:val="21"/>
      </w:rPr>
    </w:lvl>
    <w:lvl w:ilvl="2" w:tentative="0">
      <w:start w:val="1"/>
      <w:numFmt w:val="decimal"/>
      <w:pStyle w:val="18"/>
      <w:suff w:val="nothing"/>
      <w:lvlText w:val="%1%2.%3　"/>
      <w:lvlJc w:val="left"/>
      <w:pPr>
        <w:ind w:left="184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D766FC"/>
    <w:rsid w:val="000E33CD"/>
    <w:rsid w:val="001A06BC"/>
    <w:rsid w:val="00260738"/>
    <w:rsid w:val="00AA7A88"/>
    <w:rsid w:val="08AB5FF2"/>
    <w:rsid w:val="10326846"/>
    <w:rsid w:val="1D1D112B"/>
    <w:rsid w:val="24AE47B6"/>
    <w:rsid w:val="2C140BAB"/>
    <w:rsid w:val="40AC0100"/>
    <w:rsid w:val="426E7B2B"/>
    <w:rsid w:val="427D4CBF"/>
    <w:rsid w:val="441C414A"/>
    <w:rsid w:val="4BD16621"/>
    <w:rsid w:val="4F477FB9"/>
    <w:rsid w:val="538A12FD"/>
    <w:rsid w:val="58D7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outlineLvl w:val="1"/>
    </w:pPr>
    <w:rPr>
      <w:rFonts w:ascii="Arial" w:hAnsi="Arial" w:eastAsia="黑体"/>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99"/>
    <w:pPr>
      <w:tabs>
        <w:tab w:val="left" w:pos="8280"/>
      </w:tabs>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39"/>
    <w:rPr>
      <w:rFonts w:ascii="宋体"/>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rFonts w:ascii="宋体" w:hAnsi="Times New Roman" w:eastAsia="宋体"/>
      <w:color w:val="auto"/>
      <w:spacing w:val="0"/>
      <w:w w:val="100"/>
      <w:position w:val="0"/>
      <w:sz w:val="21"/>
      <w:u w:val="none"/>
      <w:vertAlign w:val="baseline"/>
    </w:rPr>
  </w:style>
  <w:style w:type="paragraph" w:customStyle="1" w:styleId="12">
    <w:name w:val="4－正文LX"/>
    <w:next w:val="1"/>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paragraph" w:customStyle="1" w:styleId="13">
    <w:name w:val="标准文件_目录标题"/>
    <w:basedOn w:val="1"/>
    <w:qFormat/>
    <w:uiPriority w:val="0"/>
    <w:pPr>
      <w:spacing w:before="480" w:after="150" w:afterLines="150"/>
      <w:jc w:val="center"/>
    </w:pPr>
    <w:rPr>
      <w:rFonts w:ascii="黑体" w:eastAsia="黑体"/>
      <w:sz w:val="32"/>
    </w:r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标准文件_表格"/>
    <w:basedOn w:val="17"/>
    <w:qFormat/>
    <w:uiPriority w:val="0"/>
    <w:pPr>
      <w:ind w:firstLine="0" w:firstLineChars="0"/>
      <w:jc w:val="center"/>
    </w:pPr>
    <w:rPr>
      <w:sz w:val="18"/>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一级条标题"/>
    <w:basedOn w:val="19"/>
    <w:next w:val="17"/>
    <w:qFormat/>
    <w:uiPriority w:val="0"/>
    <w:pPr>
      <w:numPr>
        <w:ilvl w:val="2"/>
      </w:numPr>
      <w:spacing w:before="50" w:beforeLines="50" w:after="50" w:afterLines="50"/>
      <w:ind w:left="0"/>
      <w:outlineLvl w:val="1"/>
    </w:pPr>
  </w:style>
  <w:style w:type="paragraph" w:customStyle="1" w:styleId="19">
    <w:name w:val="标准文件_章标题"/>
    <w:next w:val="1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0">
    <w:name w:val="标准文件_附录标识"/>
    <w:next w:val="17"/>
    <w:qFormat/>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21">
    <w:name w:val="标准文件_附录一级条标题"/>
    <w:next w:val="17"/>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22">
    <w:name w:val="标准文件_附录二级条标题"/>
    <w:basedOn w:val="21"/>
    <w:next w:val="17"/>
    <w:qFormat/>
    <w:uiPriority w:val="0"/>
    <w:pPr>
      <w:widowControl/>
      <w:numPr>
        <w:ilvl w:val="2"/>
      </w:numPr>
      <w:wordWrap w:val="0"/>
      <w:overflowPunct w:val="0"/>
      <w:autoSpaceDE w:val="0"/>
      <w:autoSpaceDN w:val="0"/>
      <w:ind w:left="0"/>
      <w:textAlignment w:val="baseline"/>
      <w:outlineLvl w:val="3"/>
    </w:pPr>
  </w:style>
  <w:style w:type="paragraph" w:customStyle="1" w:styleId="23">
    <w:name w:val="标准文件_附录三级无标题"/>
    <w:basedOn w:val="24"/>
    <w:qFormat/>
    <w:uiPriority w:val="0"/>
    <w:pPr>
      <w:spacing w:before="0" w:beforeLines="0" w:after="0" w:afterLines="0" w:line="276" w:lineRule="auto"/>
      <w:outlineLvl w:val="9"/>
    </w:pPr>
    <w:rPr>
      <w:rFonts w:ascii="宋体" w:eastAsia="宋体"/>
    </w:rPr>
  </w:style>
  <w:style w:type="paragraph" w:customStyle="1" w:styleId="24">
    <w:name w:val="标准文件_附录三级条标题"/>
    <w:next w:val="17"/>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25">
    <w:name w:val="标准文件_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26">
    <w:name w:val="标准文件_附录二级无标题"/>
    <w:basedOn w:val="22"/>
    <w:qFormat/>
    <w:uiPriority w:val="0"/>
    <w:pPr>
      <w:spacing w:before="0" w:beforeLines="0" w:after="0" w:afterLines="0" w:line="276" w:lineRule="auto"/>
      <w:outlineLvl w:val="9"/>
    </w:pPr>
    <w:rPr>
      <w:rFonts w:ascii="宋体" w:eastAsia="宋体"/>
    </w:rPr>
  </w:style>
  <w:style w:type="paragraph" w:customStyle="1" w:styleId="27">
    <w:name w:val="标准文件_正文公式"/>
    <w:basedOn w:val="1"/>
    <w:next w:val="28"/>
    <w:qFormat/>
    <w:uiPriority w:val="0"/>
    <w:pPr>
      <w:tabs>
        <w:tab w:val="center" w:pos="4678"/>
        <w:tab w:val="right" w:leader="middleDot" w:pos="9356"/>
      </w:tabs>
    </w:pPr>
    <w:rPr>
      <w:rFonts w:ascii="宋体" w:hAnsi="宋体"/>
    </w:rPr>
  </w:style>
  <w:style w:type="paragraph" w:customStyle="1" w:styleId="28">
    <w:name w:val="标准文件_标准正文"/>
    <w:basedOn w:val="1"/>
    <w:next w:val="17"/>
    <w:qFormat/>
    <w:uiPriority w:val="0"/>
    <w:pPr>
      <w:snapToGrid w:val="0"/>
      <w:ind w:firstLine="200" w:firstLineChars="200"/>
    </w:pPr>
    <w:rPr>
      <w:kern w:val="0"/>
    </w:rPr>
  </w:style>
  <w:style w:type="paragraph" w:customStyle="1" w:styleId="29">
    <w:name w:val="标准文件_附录图标号"/>
    <w:basedOn w:val="17"/>
    <w:next w:val="17"/>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30">
    <w:name w:val="标准文件_附录表标号"/>
    <w:basedOn w:val="17"/>
    <w:next w:val="17"/>
    <w:qFormat/>
    <w:uiPriority w:val="0"/>
    <w:pPr>
      <w:numPr>
        <w:ilvl w:val="0"/>
        <w:numId w:val="6"/>
      </w:numPr>
      <w:spacing w:line="14" w:lineRule="exact"/>
      <w:ind w:firstLine="0" w:firstLineChars="0"/>
      <w:jc w:val="center"/>
    </w:pPr>
    <w:rPr>
      <w:rFonts w:eastAsia="黑体"/>
      <w:vanish/>
      <w:sz w:val="2"/>
    </w:rPr>
  </w:style>
  <w:style w:type="paragraph" w:customStyle="1" w:styleId="31">
    <w:name w:val="标准文件_附录图标题"/>
    <w:next w:val="17"/>
    <w:qFormat/>
    <w:uiPriority w:val="0"/>
    <w:pPr>
      <w:numPr>
        <w:ilvl w:val="1"/>
        <w:numId w:val="5"/>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32">
    <w:name w:val="标准文件_附录表标题"/>
    <w:next w:val="17"/>
    <w:qFormat/>
    <w:uiPriority w:val="0"/>
    <w:pPr>
      <w:numPr>
        <w:ilvl w:val="1"/>
        <w:numId w:val="6"/>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33">
    <w:name w:val="封面正文"/>
    <w:qFormat/>
    <w:uiPriority w:val="99"/>
    <w:pPr>
      <w:jc w:val="both"/>
    </w:pPr>
    <w:rPr>
      <w:rFonts w:ascii="Times New Roman" w:hAnsi="Times New Roman" w:eastAsia="宋体" w:cs="Times New Roman"/>
      <w:lang w:val="en-US" w:eastAsia="zh-CN" w:bidi="ar-SA"/>
    </w:rPr>
  </w:style>
  <w:style w:type="paragraph" w:customStyle="1" w:styleId="3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5">
    <w:name w:val="其他标准称谓"/>
    <w:next w:val="1"/>
    <w:qFormat/>
    <w:uiPriority w:val="99"/>
    <w:pPr>
      <w:spacing w:line="0" w:lineRule="atLeast"/>
      <w:jc w:val="distribute"/>
    </w:pPr>
    <w:rPr>
      <w:rFonts w:ascii="黑体" w:hAnsi="宋体" w:eastAsia="黑体" w:cs="Times New Roman"/>
      <w:sz w:val="52"/>
      <w:lang w:val="en-US" w:eastAsia="zh-CN" w:bidi="ar-SA"/>
    </w:rPr>
  </w:style>
  <w:style w:type="paragraph" w:customStyle="1" w:styleId="3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7">
    <w:name w:val="发布部门"/>
    <w:next w:val="14"/>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8">
    <w:name w:val="实施日期"/>
    <w:basedOn w:val="39"/>
    <w:qFormat/>
    <w:uiPriority w:val="99"/>
    <w:pPr>
      <w:framePr w:hSpace="0" w:wrap="around" w:xAlign="right"/>
      <w:jc w:val="right"/>
    </w:pPr>
  </w:style>
  <w:style w:type="paragraph" w:customStyle="1" w:styleId="3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829</Words>
  <Characters>985</Characters>
  <Lines>32</Lines>
  <Paragraphs>9</Paragraphs>
  <TotalTime>4</TotalTime>
  <ScaleCrop>false</ScaleCrop>
  <LinksUpToDate>false</LinksUpToDate>
  <CharactersWithSpaces>1043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2025-06-24T13:43:00Z</dcterms:created>
  <dc:creator>张鹏</dc:creator>
  <cp:lastModifiedBy>张鹏</cp:lastModifiedBy>
  <dcterms:modified xsi:type="dcterms:W3CDTF">2025-08-06T06:54:15Z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5613309E245D4132835BE9403D10FE27_13</vt:lpwstr>
  </property>
  <property fmtid="{D5CDD505-2E9C-101B-9397-08002B2CF9AE}" pid="4" name="KSOTemplateDocerSaveRecord">
    <vt:lpwstr>eyJoZGlkIjoiNjYxOTE0NzFmZmNjYTVjODY0NTJmNTMzMDJiMjMwOTkiLCJ1c2VySWQiOiIyNTQ1NzYyMzUifQ==</vt:lpwstr>
  </property>
</Properties>
</file>